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064" w:rsidRPr="00574938" w:rsidRDefault="007B4064" w:rsidP="007B4064">
      <w:pPr>
        <w:spacing w:before="100" w:beforeAutospacing="1" w:after="100" w:afterAutospacing="1" w:line="360" w:lineRule="auto"/>
        <w:jc w:val="both"/>
        <w:rPr>
          <w:rFonts w:ascii="Palatino Linotype" w:hAnsi="Palatino Linotype" w:cs="Arial"/>
        </w:rPr>
      </w:pPr>
      <w:r w:rsidRPr="00574938">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del </w:t>
      </w:r>
      <w:r>
        <w:rPr>
          <w:rFonts w:ascii="Palatino Linotype" w:hAnsi="Palatino Linotype" w:cs="Arial"/>
        </w:rPr>
        <w:t>diez de octubre de dos mil dieciocho</w:t>
      </w:r>
      <w:r w:rsidRPr="00574938">
        <w:rPr>
          <w:rFonts w:ascii="Palatino Linotype" w:hAnsi="Palatino Linotype" w:cs="Arial"/>
        </w:rPr>
        <w:t>.</w:t>
      </w:r>
    </w:p>
    <w:p w:rsidR="007B4064" w:rsidRDefault="007B4064" w:rsidP="007B4064">
      <w:pPr>
        <w:spacing w:before="100" w:beforeAutospacing="1" w:after="100" w:afterAutospacing="1" w:line="360" w:lineRule="auto"/>
        <w:jc w:val="both"/>
        <w:rPr>
          <w:rFonts w:ascii="Palatino Linotype" w:hAnsi="Palatino Linotype" w:cs="Arial"/>
        </w:rPr>
      </w:pPr>
      <w:r w:rsidRPr="00574938">
        <w:rPr>
          <w:rFonts w:ascii="Palatino Linotype" w:hAnsi="Palatino Linotype" w:cs="Arial"/>
          <w:b/>
        </w:rPr>
        <w:t>VISTOS</w:t>
      </w:r>
      <w:r w:rsidRPr="00574938">
        <w:rPr>
          <w:rFonts w:ascii="Palatino Linotype" w:hAnsi="Palatino Linotype" w:cs="Arial"/>
        </w:rPr>
        <w:t xml:space="preserve"> los expedientes electrónicos formados con motivo de los recursos de revisión </w:t>
      </w:r>
      <w:r>
        <w:rPr>
          <w:rFonts w:ascii="Palatino Linotype" w:hAnsi="Palatino Linotype" w:cs="Arial"/>
          <w:b/>
          <w:bCs/>
        </w:rPr>
        <w:t>03076/INFOEM/IP/RR/2018 y 03077</w:t>
      </w:r>
      <w:r w:rsidRPr="00AA0F5A">
        <w:rPr>
          <w:rFonts w:ascii="Palatino Linotype" w:hAnsi="Palatino Linotype" w:cs="Arial"/>
          <w:b/>
          <w:bCs/>
        </w:rPr>
        <w:t>/INFOEM/IP/RR/2018</w:t>
      </w:r>
      <w:r>
        <w:rPr>
          <w:rFonts w:ascii="Palatino Linotype" w:hAnsi="Palatino Linotype" w:cs="Arial"/>
          <w:b/>
          <w:bCs/>
          <w:sz w:val="22"/>
        </w:rPr>
        <w:t xml:space="preserve"> </w:t>
      </w:r>
      <w:r>
        <w:rPr>
          <w:rFonts w:ascii="Palatino Linotype" w:hAnsi="Palatino Linotype" w:cs="Arial"/>
        </w:rPr>
        <w:t xml:space="preserve">interpuestos por la </w:t>
      </w:r>
      <w:r>
        <w:rPr>
          <w:rFonts w:ascii="Palatino Linotype" w:hAnsi="Palatino Linotype"/>
          <w:b/>
          <w:szCs w:val="22"/>
        </w:rPr>
        <w:t xml:space="preserve">C. </w:t>
      </w:r>
      <w:r w:rsidR="00DE1FAA">
        <w:rPr>
          <w:rFonts w:ascii="Palatino Linotype" w:hAnsi="Palatino Linotype"/>
          <w:b/>
          <w:szCs w:val="22"/>
        </w:rPr>
        <w:t>XXXXXXXXXXXX</w:t>
      </w:r>
      <w:r>
        <w:rPr>
          <w:rFonts w:ascii="Palatino Linotype" w:hAnsi="Palatino Linotype"/>
          <w:b/>
          <w:szCs w:val="22"/>
        </w:rPr>
        <w:t xml:space="preserve">, </w:t>
      </w:r>
      <w:r>
        <w:rPr>
          <w:rFonts w:ascii="Palatino Linotype" w:hAnsi="Palatino Linotype" w:cs="Arial"/>
        </w:rPr>
        <w:t>la</w:t>
      </w:r>
      <w:r w:rsidRPr="00574938">
        <w:rPr>
          <w:rFonts w:ascii="Palatino Linotype" w:hAnsi="Palatino Linotype" w:cs="Arial"/>
          <w:b/>
        </w:rPr>
        <w:t xml:space="preserve"> </w:t>
      </w:r>
      <w:r>
        <w:rPr>
          <w:rFonts w:ascii="Palatino Linotype" w:hAnsi="Palatino Linotype" w:cs="Arial"/>
          <w:b/>
        </w:rPr>
        <w:t xml:space="preserve">parte </w:t>
      </w:r>
      <w:r w:rsidRPr="00574938">
        <w:rPr>
          <w:rFonts w:ascii="Palatino Linotype" w:hAnsi="Palatino Linotype" w:cs="Arial"/>
          <w:b/>
        </w:rPr>
        <w:t>recurrente</w:t>
      </w:r>
      <w:r>
        <w:rPr>
          <w:rFonts w:ascii="Palatino Linotype" w:hAnsi="Palatino Linotype" w:cs="Arial"/>
        </w:rPr>
        <w:t>,</w:t>
      </w:r>
      <w:r w:rsidRPr="00574938">
        <w:rPr>
          <w:rFonts w:ascii="Palatino Linotype" w:hAnsi="Palatino Linotype" w:cs="Arial"/>
        </w:rPr>
        <w:t xml:space="preserve"> </w:t>
      </w:r>
      <w:r>
        <w:rPr>
          <w:rFonts w:ascii="Palatino Linotype" w:hAnsi="Palatino Linotype" w:cs="Arial"/>
        </w:rPr>
        <w:t>contra la</w:t>
      </w:r>
      <w:r w:rsidRPr="00574938">
        <w:rPr>
          <w:rFonts w:ascii="Palatino Linotype" w:hAnsi="Palatino Linotype" w:cs="Arial"/>
          <w:b/>
        </w:rPr>
        <w:t xml:space="preserve"> </w:t>
      </w:r>
      <w:r>
        <w:rPr>
          <w:rFonts w:ascii="Palatino Linotype" w:hAnsi="Palatino Linotype" w:cs="Arial"/>
          <w:b/>
        </w:rPr>
        <w:t>Secretaría de Salud</w:t>
      </w:r>
      <w:r w:rsidRPr="00574938">
        <w:rPr>
          <w:rFonts w:ascii="Palatino Linotype" w:hAnsi="Palatino Linotype" w:cs="Arial"/>
        </w:rPr>
        <w:t xml:space="preserve">, el </w:t>
      </w:r>
      <w:r w:rsidRPr="00574938">
        <w:rPr>
          <w:rFonts w:ascii="Palatino Linotype" w:hAnsi="Palatino Linotype" w:cs="Arial"/>
          <w:b/>
        </w:rPr>
        <w:t>Sujeto Obligado</w:t>
      </w:r>
      <w:r w:rsidRPr="00574938">
        <w:rPr>
          <w:rFonts w:ascii="Palatino Linotype" w:hAnsi="Palatino Linotype" w:cs="Arial"/>
        </w:rPr>
        <w:t xml:space="preserve">, ambos así denominados </w:t>
      </w:r>
      <w:r>
        <w:rPr>
          <w:rFonts w:ascii="Palatino Linotype" w:hAnsi="Palatino Linotype" w:cs="Arial"/>
        </w:rPr>
        <w:t xml:space="preserve">en lo sucesivo, en contra de las </w:t>
      </w:r>
      <w:r w:rsidRPr="00574938">
        <w:rPr>
          <w:rFonts w:ascii="Palatino Linotype" w:hAnsi="Palatino Linotype" w:cs="Arial"/>
        </w:rPr>
        <w:t xml:space="preserve">respuestas </w:t>
      </w:r>
      <w:r>
        <w:rPr>
          <w:rFonts w:ascii="Palatino Linotype" w:hAnsi="Palatino Linotype" w:cs="Arial"/>
        </w:rPr>
        <w:t>a</w:t>
      </w:r>
      <w:r w:rsidRPr="00574938">
        <w:rPr>
          <w:rFonts w:ascii="Palatino Linotype" w:hAnsi="Palatino Linotype" w:cs="Arial"/>
        </w:rPr>
        <w:t xml:space="preserve"> las solicitudes de información con número de folio </w:t>
      </w:r>
      <w:r>
        <w:rPr>
          <w:rFonts w:ascii="Palatino Linotype" w:hAnsi="Palatino Linotype" w:cs="Arial"/>
          <w:b/>
        </w:rPr>
        <w:t xml:space="preserve">00244/SSALUD/IP/2018 </w:t>
      </w:r>
      <w:r w:rsidRPr="009616D7">
        <w:rPr>
          <w:rFonts w:ascii="Palatino Linotype" w:hAnsi="Palatino Linotype" w:cs="Arial"/>
        </w:rPr>
        <w:t>y</w:t>
      </w:r>
      <w:r w:rsidR="009D5CF7">
        <w:rPr>
          <w:rFonts w:ascii="Palatino Linotype" w:hAnsi="Palatino Linotype" w:cs="Arial"/>
          <w:b/>
        </w:rPr>
        <w:t xml:space="preserve"> 00245/S</w:t>
      </w:r>
      <w:r>
        <w:rPr>
          <w:rFonts w:ascii="Palatino Linotype" w:hAnsi="Palatino Linotype" w:cs="Arial"/>
          <w:b/>
        </w:rPr>
        <w:t>SALUD</w:t>
      </w:r>
      <w:r w:rsidRPr="00AA0F5A">
        <w:rPr>
          <w:rFonts w:ascii="Palatino Linotype" w:hAnsi="Palatino Linotype" w:cs="Arial"/>
          <w:b/>
        </w:rPr>
        <w:t xml:space="preserve">/IP/2018 </w:t>
      </w:r>
      <w:r w:rsidRPr="00574938">
        <w:rPr>
          <w:rFonts w:ascii="Palatino Linotype" w:hAnsi="Palatino Linotype" w:cs="Arial"/>
        </w:rPr>
        <w:t>se procede a dictar la presente Resolución, con fundamento en lo siguiente:</w:t>
      </w:r>
    </w:p>
    <w:p w:rsidR="007B4064" w:rsidRPr="00A315B0" w:rsidRDefault="007B4064" w:rsidP="007B4064">
      <w:pPr>
        <w:spacing w:before="100" w:beforeAutospacing="1" w:after="100" w:afterAutospacing="1" w:line="360" w:lineRule="auto"/>
        <w:jc w:val="center"/>
        <w:rPr>
          <w:rFonts w:ascii="Palatino Linotype" w:hAnsi="Palatino Linotype" w:cs="Arial"/>
          <w:b/>
          <w:sz w:val="28"/>
        </w:rPr>
      </w:pPr>
      <w:r w:rsidRPr="00A315B0">
        <w:rPr>
          <w:rFonts w:ascii="Palatino Linotype" w:hAnsi="Palatino Linotype" w:cs="Arial"/>
          <w:b/>
          <w:sz w:val="28"/>
        </w:rPr>
        <w:t>I.</w:t>
      </w:r>
      <w:r w:rsidRPr="00A315B0">
        <w:rPr>
          <w:rFonts w:ascii="Palatino Linotype" w:hAnsi="Palatino Linotype" w:cs="Arial"/>
          <w:b/>
          <w:sz w:val="28"/>
        </w:rPr>
        <w:tab/>
        <w:t>A N T E C E D E N T E S:</w:t>
      </w:r>
    </w:p>
    <w:p w:rsidR="007B4064" w:rsidRDefault="007B4064" w:rsidP="007B4064">
      <w:pPr>
        <w:spacing w:before="100" w:beforeAutospacing="1" w:after="100" w:afterAutospacing="1" w:line="360" w:lineRule="auto"/>
        <w:jc w:val="both"/>
        <w:rPr>
          <w:rFonts w:ascii="Palatino Linotype" w:hAnsi="Palatino Linotype" w:cs="Arial"/>
        </w:rPr>
      </w:pPr>
      <w:r w:rsidRPr="00574938">
        <w:rPr>
          <w:rFonts w:ascii="Palatino Linotype" w:hAnsi="Palatino Linotype" w:cs="Arial"/>
          <w:b/>
        </w:rPr>
        <w:t>PRIMERO.</w:t>
      </w:r>
      <w:r w:rsidRPr="00574938">
        <w:rPr>
          <w:rFonts w:ascii="Palatino Linotype" w:hAnsi="Palatino Linotype" w:cs="Arial"/>
        </w:rPr>
        <w:t xml:space="preserve"> </w:t>
      </w:r>
      <w:r w:rsidRPr="00574938">
        <w:rPr>
          <w:rFonts w:ascii="Palatino Linotype" w:hAnsi="Palatino Linotype" w:cs="Arial"/>
          <w:b/>
        </w:rPr>
        <w:t>Solicitudes de acceso a la información.</w:t>
      </w:r>
      <w:r>
        <w:rPr>
          <w:rFonts w:ascii="Palatino Linotype" w:hAnsi="Palatino Linotype" w:cs="Arial"/>
        </w:rPr>
        <w:t xml:space="preserve"> Con fecha seis de agosto de dos mil dieciocho, la</w:t>
      </w:r>
      <w:r w:rsidRPr="00574938">
        <w:rPr>
          <w:rFonts w:ascii="Palatino Linotype" w:hAnsi="Palatino Linotype" w:cs="Arial"/>
        </w:rPr>
        <w:t xml:space="preserve"> </w:t>
      </w:r>
      <w:r>
        <w:rPr>
          <w:rFonts w:ascii="Palatino Linotype" w:hAnsi="Palatino Linotype" w:cs="Arial"/>
        </w:rPr>
        <w:t xml:space="preserve">parte </w:t>
      </w:r>
      <w:r w:rsidRPr="00574938">
        <w:rPr>
          <w:rFonts w:ascii="Palatino Linotype" w:hAnsi="Palatino Linotype" w:cs="Arial"/>
          <w:b/>
        </w:rPr>
        <w:t>recurrente</w:t>
      </w:r>
      <w:r w:rsidRPr="00574938">
        <w:rPr>
          <w:rFonts w:ascii="Palatino Linotype" w:hAnsi="Palatino Linotype" w:cs="Arial"/>
        </w:rPr>
        <w:t xml:space="preserve"> presentó solicitudes de acceso a la información pública al </w:t>
      </w:r>
      <w:r w:rsidRPr="00574938">
        <w:rPr>
          <w:rFonts w:ascii="Palatino Linotype" w:hAnsi="Palatino Linotype" w:cs="Arial"/>
          <w:b/>
        </w:rPr>
        <w:t>Sujeto Obligado</w:t>
      </w:r>
      <w:r w:rsidRPr="00574938">
        <w:rPr>
          <w:rFonts w:ascii="Palatino Linotype" w:hAnsi="Palatino Linotype" w:cs="Arial"/>
        </w:rPr>
        <w:t xml:space="preserve"> mediante el Sistema de Información Mexiquense (</w:t>
      </w:r>
      <w:r w:rsidRPr="00574938">
        <w:rPr>
          <w:rFonts w:ascii="Palatino Linotype" w:hAnsi="Palatino Linotype" w:cs="Arial"/>
          <w:b/>
        </w:rPr>
        <w:t>SAIMEX</w:t>
      </w:r>
      <w:r>
        <w:rPr>
          <w:rFonts w:ascii="Palatino Linotype" w:hAnsi="Palatino Linotype" w:cs="Arial"/>
        </w:rPr>
        <w:t xml:space="preserve">), requiriendo </w:t>
      </w:r>
      <w:r w:rsidRPr="00574938">
        <w:rPr>
          <w:rFonts w:ascii="Palatino Linotype" w:hAnsi="Palatino Linotype" w:cs="Arial"/>
        </w:rPr>
        <w:t>lo siguiente:</w:t>
      </w:r>
    </w:p>
    <w:p w:rsidR="007B4064" w:rsidRPr="007B4064" w:rsidRDefault="007B4064" w:rsidP="007B4064">
      <w:pPr>
        <w:spacing w:before="100" w:beforeAutospacing="1" w:after="100" w:afterAutospacing="1"/>
        <w:jc w:val="both"/>
        <w:rPr>
          <w:rFonts w:ascii="Palatino Linotype" w:hAnsi="Palatino Linotype" w:cs="Arial"/>
        </w:rPr>
      </w:pPr>
      <w:r>
        <w:rPr>
          <w:rFonts w:ascii="Palatino Linotype" w:hAnsi="Palatino Linotype" w:cs="Arial"/>
          <w:b/>
        </w:rPr>
        <w:t>Solicitud 00244/SSALUD/IP/2018:</w:t>
      </w:r>
    </w:p>
    <w:p w:rsidR="007B4064" w:rsidRDefault="007B4064" w:rsidP="007B4064">
      <w:pPr>
        <w:spacing w:before="100" w:beforeAutospacing="1" w:after="100" w:afterAutospacing="1"/>
        <w:ind w:left="851" w:right="851"/>
        <w:jc w:val="both"/>
        <w:rPr>
          <w:rFonts w:ascii="Palatino Linotype" w:hAnsi="Palatino Linotype" w:cs="Arial"/>
          <w:i/>
          <w:sz w:val="22"/>
        </w:rPr>
      </w:pPr>
      <w:r w:rsidRPr="006D3C6E">
        <w:rPr>
          <w:rFonts w:ascii="Palatino Linotype" w:hAnsi="Palatino Linotype" w:cs="Arial"/>
          <w:i/>
          <w:sz w:val="22"/>
        </w:rPr>
        <w:t>“</w:t>
      </w:r>
      <w:r w:rsidR="00732A00" w:rsidRPr="00732A00">
        <w:rPr>
          <w:rFonts w:ascii="Palatino Linotype" w:hAnsi="Palatino Linotype" w:cs="Arial"/>
          <w:i/>
          <w:sz w:val="22"/>
        </w:rPr>
        <w:t>Requiero el fundamento legal que faculte a los prestadores de servicio social del Hospital Regional de Alta Especialidad de Zumpango, a firmar las notas de enfermería, así como el fundamento legal que faculte al personal contratado a delegar a los prestadores de servicio social dichas funciones, Lo anterior, de conformidad con el numeral 9 de la NORMA Oficial Mexicana NOM-004-SSA3-2012, Del expediente clínico.</w:t>
      </w:r>
      <w:r w:rsidRPr="006D3C6E">
        <w:rPr>
          <w:rFonts w:ascii="Palatino Linotype" w:hAnsi="Palatino Linotype" w:cs="Arial"/>
          <w:i/>
          <w:sz w:val="22"/>
        </w:rPr>
        <w:t>” (Sic.)</w:t>
      </w:r>
    </w:p>
    <w:p w:rsidR="00732A00" w:rsidRPr="007B4064" w:rsidRDefault="00732A00" w:rsidP="00732A00">
      <w:pPr>
        <w:spacing w:before="100" w:beforeAutospacing="1" w:after="100" w:afterAutospacing="1"/>
        <w:jc w:val="both"/>
        <w:rPr>
          <w:rFonts w:ascii="Palatino Linotype" w:hAnsi="Palatino Linotype" w:cs="Arial"/>
        </w:rPr>
      </w:pPr>
      <w:r>
        <w:rPr>
          <w:rFonts w:ascii="Palatino Linotype" w:hAnsi="Palatino Linotype" w:cs="Arial"/>
          <w:b/>
        </w:rPr>
        <w:lastRenderedPageBreak/>
        <w:t>Solicitud 00245/SSALUD/IP/2018:</w:t>
      </w:r>
    </w:p>
    <w:p w:rsidR="00732A00" w:rsidRDefault="00732A00" w:rsidP="00732A00">
      <w:pPr>
        <w:spacing w:before="100" w:beforeAutospacing="1" w:after="100" w:afterAutospacing="1"/>
        <w:ind w:left="851" w:right="851"/>
        <w:jc w:val="both"/>
        <w:rPr>
          <w:rFonts w:ascii="Palatino Linotype" w:hAnsi="Palatino Linotype" w:cs="Arial"/>
          <w:i/>
          <w:sz w:val="22"/>
        </w:rPr>
      </w:pPr>
      <w:r w:rsidRPr="006D3C6E">
        <w:rPr>
          <w:rFonts w:ascii="Palatino Linotype" w:hAnsi="Palatino Linotype" w:cs="Arial"/>
          <w:i/>
          <w:sz w:val="22"/>
        </w:rPr>
        <w:t>“</w:t>
      </w:r>
      <w:r w:rsidRPr="00732A00">
        <w:rPr>
          <w:rFonts w:ascii="Palatino Linotype" w:hAnsi="Palatino Linotype" w:cs="Arial"/>
          <w:i/>
          <w:sz w:val="22"/>
        </w:rPr>
        <w:t>Requiero el fundamento legal que faculte a los prestadores de servicio social del Hospital General Ecatepec "Las Américas" - Ecatepec de Morelos, a firmar las notas de enfermería, así como el fundamento legal que faculte al personal contratado a delegar a los prestadores de servicio social dichas funciones, Lo anterior, de conformidad con el numeral 9 de la NORMA Oficial Mexicana NOM-004-SSA3-2012, Del expediente clínico.</w:t>
      </w:r>
      <w:r w:rsidRPr="006D3C6E">
        <w:rPr>
          <w:rFonts w:ascii="Palatino Linotype" w:hAnsi="Palatino Linotype" w:cs="Arial"/>
          <w:i/>
          <w:sz w:val="22"/>
        </w:rPr>
        <w:t>” (Sic.)</w:t>
      </w:r>
    </w:p>
    <w:p w:rsidR="00732A00" w:rsidRPr="006D3C6E" w:rsidRDefault="00732A00" w:rsidP="007B4064">
      <w:pPr>
        <w:spacing w:before="100" w:beforeAutospacing="1" w:after="100" w:afterAutospacing="1"/>
        <w:ind w:left="851" w:right="851"/>
        <w:jc w:val="both"/>
        <w:rPr>
          <w:rFonts w:ascii="Palatino Linotype" w:hAnsi="Palatino Linotype" w:cs="Arial"/>
          <w:i/>
          <w:sz w:val="22"/>
        </w:rPr>
      </w:pPr>
    </w:p>
    <w:p w:rsidR="007B4064" w:rsidRDefault="007B4064" w:rsidP="007B4064">
      <w:pPr>
        <w:spacing w:before="240" w:after="240" w:line="360" w:lineRule="auto"/>
        <w:jc w:val="both"/>
        <w:rPr>
          <w:rFonts w:ascii="Palatino Linotype" w:hAnsi="Palatino Linotype" w:cs="Arial"/>
        </w:rPr>
      </w:pPr>
      <w:r>
        <w:rPr>
          <w:rFonts w:ascii="Palatino Linotype" w:hAnsi="Palatino Linotype" w:cs="Arial"/>
          <w:b/>
        </w:rPr>
        <w:t xml:space="preserve">Modalidad elegida para la entrega de la información: </w:t>
      </w:r>
      <w:r>
        <w:rPr>
          <w:rFonts w:ascii="Palatino Linotype" w:hAnsi="Palatino Linotype" w:cs="Arial"/>
        </w:rPr>
        <w:t>A través del SAIMEX.</w:t>
      </w:r>
    </w:p>
    <w:p w:rsidR="00732A00" w:rsidRDefault="00732A00" w:rsidP="00732A00">
      <w:pPr>
        <w:spacing w:before="100" w:beforeAutospacing="1" w:after="100" w:afterAutospacing="1" w:line="360" w:lineRule="auto"/>
        <w:jc w:val="both"/>
        <w:rPr>
          <w:rFonts w:ascii="Palatino Linotype" w:hAnsi="Palatino Linotype" w:cs="Arial"/>
        </w:rPr>
      </w:pPr>
      <w:r w:rsidRPr="006809B0">
        <w:rPr>
          <w:rFonts w:ascii="Palatino Linotype" w:hAnsi="Palatino Linotype" w:cs="Arial"/>
          <w:b/>
        </w:rPr>
        <w:t>SEGUNDO. Respuestas</w:t>
      </w:r>
      <w:r w:rsidRPr="006809B0">
        <w:rPr>
          <w:rFonts w:ascii="Palatino Linotype" w:hAnsi="Palatino Linotype" w:cs="Arial"/>
        </w:rPr>
        <w:t xml:space="preserve">. De las constancias que obran en el expediente electrónico del </w:t>
      </w:r>
      <w:r w:rsidRPr="006809B0">
        <w:rPr>
          <w:rFonts w:ascii="Palatino Linotype" w:hAnsi="Palatino Linotype" w:cs="Arial"/>
          <w:b/>
        </w:rPr>
        <w:t>SAIMEX</w:t>
      </w:r>
      <w:r w:rsidRPr="006809B0">
        <w:rPr>
          <w:rFonts w:ascii="Palatino Linotype" w:hAnsi="Palatino Linotype" w:cs="Arial"/>
        </w:rPr>
        <w:t xml:space="preserve"> se advierte que el </w:t>
      </w:r>
      <w:r w:rsidRPr="006809B0">
        <w:rPr>
          <w:rFonts w:ascii="Palatino Linotype" w:hAnsi="Palatino Linotype" w:cs="Arial"/>
          <w:b/>
        </w:rPr>
        <w:t>Sujeto Obligado</w:t>
      </w:r>
      <w:r w:rsidR="00A547D2">
        <w:rPr>
          <w:rFonts w:ascii="Palatino Linotype" w:hAnsi="Palatino Linotype" w:cs="Arial"/>
        </w:rPr>
        <w:t xml:space="preserve"> respondió </w:t>
      </w:r>
      <w:r w:rsidRPr="006809B0">
        <w:rPr>
          <w:rFonts w:ascii="Palatino Linotype" w:hAnsi="Palatino Linotype" w:cs="Arial"/>
        </w:rPr>
        <w:t xml:space="preserve"> las solicitudes de acceso a la información </w:t>
      </w:r>
      <w:r w:rsidR="00A547D2">
        <w:rPr>
          <w:rFonts w:ascii="Palatino Linotype" w:hAnsi="Palatino Linotype" w:cs="Arial"/>
          <w:b/>
        </w:rPr>
        <w:t xml:space="preserve">00244/SSALUD/IP/2018 </w:t>
      </w:r>
      <w:r w:rsidR="00A547D2" w:rsidRPr="009616D7">
        <w:rPr>
          <w:rFonts w:ascii="Palatino Linotype" w:hAnsi="Palatino Linotype" w:cs="Arial"/>
        </w:rPr>
        <w:t>y</w:t>
      </w:r>
      <w:r w:rsidR="00A547D2">
        <w:rPr>
          <w:rFonts w:ascii="Palatino Linotype" w:hAnsi="Palatino Linotype" w:cs="Arial"/>
          <w:b/>
        </w:rPr>
        <w:t xml:space="preserve"> 00245/SSSALUD</w:t>
      </w:r>
      <w:r w:rsidR="00A547D2" w:rsidRPr="00AA0F5A">
        <w:rPr>
          <w:rFonts w:ascii="Palatino Linotype" w:hAnsi="Palatino Linotype" w:cs="Arial"/>
          <w:b/>
        </w:rPr>
        <w:t>/IP/2018</w:t>
      </w:r>
      <w:r w:rsidR="00A547D2">
        <w:rPr>
          <w:rFonts w:ascii="Palatino Linotype" w:hAnsi="Palatino Linotype" w:cs="Arial"/>
          <w:b/>
        </w:rPr>
        <w:t xml:space="preserve"> </w:t>
      </w:r>
      <w:r w:rsidR="00A547D2">
        <w:rPr>
          <w:rFonts w:ascii="Palatino Linotype" w:hAnsi="Palatino Linotype" w:cs="Arial"/>
        </w:rPr>
        <w:t>que fueran presentadas por la</w:t>
      </w:r>
      <w:r w:rsidRPr="006809B0">
        <w:rPr>
          <w:rFonts w:ascii="Palatino Linotype" w:hAnsi="Palatino Linotype" w:cs="Arial"/>
        </w:rPr>
        <w:t xml:space="preserve"> recurrente, en fecha </w:t>
      </w:r>
      <w:r w:rsidR="00A547D2">
        <w:rPr>
          <w:rFonts w:ascii="Palatino Linotype" w:hAnsi="Palatino Linotype" w:cs="Arial"/>
        </w:rPr>
        <w:t xml:space="preserve">veintisiete </w:t>
      </w:r>
      <w:r>
        <w:rPr>
          <w:rFonts w:ascii="Palatino Linotype" w:hAnsi="Palatino Linotype" w:cs="Arial"/>
        </w:rPr>
        <w:t>de agosto</w:t>
      </w:r>
      <w:r w:rsidRPr="006809B0">
        <w:rPr>
          <w:rFonts w:ascii="Palatino Linotype" w:hAnsi="Palatino Linotype" w:cs="Arial"/>
        </w:rPr>
        <w:t xml:space="preserve"> de dos mil dieciocho, en los términos siguientes:</w:t>
      </w:r>
    </w:p>
    <w:p w:rsidR="00A547D2" w:rsidRPr="00A547D2" w:rsidRDefault="00A547D2" w:rsidP="00A547D2">
      <w:pPr>
        <w:spacing w:before="100" w:beforeAutospacing="1" w:after="100" w:afterAutospacing="1"/>
        <w:jc w:val="both"/>
        <w:rPr>
          <w:rFonts w:ascii="Palatino Linotype" w:hAnsi="Palatino Linotype" w:cs="Arial"/>
        </w:rPr>
      </w:pPr>
      <w:r>
        <w:rPr>
          <w:rFonts w:ascii="Palatino Linotype" w:hAnsi="Palatino Linotype" w:cs="Arial"/>
          <w:b/>
        </w:rPr>
        <w:t>Solicitud 00244/SSALUD/IP/2018:</w:t>
      </w:r>
    </w:p>
    <w:p w:rsidR="00732A00" w:rsidRPr="006809B0" w:rsidRDefault="00732A00" w:rsidP="00732A00">
      <w:pPr>
        <w:spacing w:before="100" w:beforeAutospacing="1" w:after="100" w:afterAutospacing="1"/>
        <w:ind w:left="851" w:right="851"/>
        <w:jc w:val="both"/>
        <w:rPr>
          <w:rFonts w:ascii="Palatino Linotype" w:hAnsi="Palatino Linotype" w:cs="Arial"/>
          <w:i/>
          <w:sz w:val="22"/>
        </w:rPr>
      </w:pPr>
      <w:r>
        <w:rPr>
          <w:rFonts w:ascii="Palatino Linotype" w:hAnsi="Palatino Linotype" w:cs="Arial"/>
          <w:i/>
          <w:sz w:val="22"/>
        </w:rPr>
        <w:t>“</w:t>
      </w:r>
      <w:r w:rsidR="00A547D2" w:rsidRPr="00A547D2">
        <w:rPr>
          <w:rFonts w:ascii="Palatino Linotype" w:hAnsi="Palatino Linotype" w:cs="Arial"/>
          <w:i/>
          <w:sz w:val="22"/>
        </w:rPr>
        <w:t xml:space="preserve">Refiero respetuosamente su solicitud de información captada a través del Sistema de Acceso a la Información Mexiquense (SAIMEX) de la Secretaría de Salud con número de folio: 00244/SS/IP/2018, que textualmente señala: Requiero el fundamento legal que faculte a los prestadores de servicio social del Hospital Regional de Alta Especialidad de Zumpango, a firmar las notas de enfermería, así como el fundamento legal que faculte al personal contratado a delegar a los prestadores de servicio social dichas funciones, Lo anterior, de conformidad con el numeral 9 de la NORMA Oficial Mexicana NOM-004-SSA3-2012, Del expediente clínico. Con fundamento en el artículo 163 y 167 de la Ley de Transparencia y Acceso a la Información Pública del Estado de México y Municipios, me permito hacer de su conocimiento que mediante Decreto de Ley de la LVI Legislatura del Estado de México, publicado en el Periódico Oficial Gaceta del Gobierno el día 8 de agosto de 2007, se creó el organismo público descentralizado de carácter estatal denominado Hospital Regional de Alta </w:t>
      </w:r>
      <w:r w:rsidR="00A547D2" w:rsidRPr="00A547D2">
        <w:rPr>
          <w:rFonts w:ascii="Palatino Linotype" w:hAnsi="Palatino Linotype" w:cs="Arial"/>
          <w:i/>
          <w:sz w:val="22"/>
        </w:rPr>
        <w:lastRenderedPageBreak/>
        <w:t>Especialidad Zumpango. En tal razón y de conformidad con lo expuesto en el Código Administrativo del Estado de México, TITULO SEGUNDO De los Institutos Especializados en Materia de Salud del Estado de México Artículo 2.13.- Los Institutos Especializados de Salud son organismos públicos descentralizados, con personalidad jurídica y patrimonio propios, que tienen por objeto la investigación, enseñanza y prestación de servicios de alta especialidad. A. Serán Institutos Especializados de Salud del Estado de México, cada uno de los siguientes: III. Hospital Regional de Alta Especialidad de Zumpango; por lo que este sujeto obligado está imposibilitado de dar atención positiva a su petición; respetuosamente sugiero canalizar su solicitud de información a ese sujeto obligado, a través de la dirección electrónica: http://salud.edomex.gob.mx/hraez/home.html Sin otro particular, le reitero a usted mi distinguida y atenta consideración.</w:t>
      </w:r>
      <w:r>
        <w:rPr>
          <w:rFonts w:ascii="Palatino Linotype" w:hAnsi="Palatino Linotype" w:cs="Arial"/>
          <w:i/>
          <w:sz w:val="22"/>
        </w:rPr>
        <w:t>” (Sic.)</w:t>
      </w:r>
    </w:p>
    <w:p w:rsidR="00A547D2" w:rsidRDefault="00A547D2" w:rsidP="00A547D2">
      <w:pPr>
        <w:spacing w:before="100" w:beforeAutospacing="1" w:after="100" w:afterAutospacing="1"/>
        <w:jc w:val="both"/>
        <w:rPr>
          <w:rFonts w:ascii="Palatino Linotype" w:hAnsi="Palatino Linotype" w:cs="Arial"/>
          <w:b/>
        </w:rPr>
      </w:pPr>
      <w:r>
        <w:rPr>
          <w:rFonts w:ascii="Palatino Linotype" w:hAnsi="Palatino Linotype" w:cs="Arial"/>
          <w:b/>
        </w:rPr>
        <w:t>Solicitud 00245/SSALUD/IP/2018:</w:t>
      </w:r>
    </w:p>
    <w:p w:rsidR="00A547D2" w:rsidRPr="006809B0" w:rsidRDefault="00A547D2" w:rsidP="00A547D2">
      <w:pPr>
        <w:spacing w:before="100" w:beforeAutospacing="1" w:after="100" w:afterAutospacing="1"/>
        <w:ind w:left="851" w:right="851"/>
        <w:jc w:val="both"/>
        <w:rPr>
          <w:rFonts w:ascii="Palatino Linotype" w:hAnsi="Palatino Linotype" w:cs="Arial"/>
          <w:i/>
          <w:sz w:val="22"/>
        </w:rPr>
      </w:pPr>
      <w:r>
        <w:rPr>
          <w:rFonts w:ascii="Palatino Linotype" w:hAnsi="Palatino Linotype" w:cs="Arial"/>
          <w:i/>
          <w:sz w:val="22"/>
        </w:rPr>
        <w:t>“</w:t>
      </w:r>
      <w:r w:rsidRPr="00A547D2">
        <w:rPr>
          <w:rFonts w:ascii="Palatino Linotype" w:hAnsi="Palatino Linotype" w:cs="Arial"/>
          <w:i/>
          <w:sz w:val="22"/>
        </w:rPr>
        <w:t xml:space="preserve">Refiero respetuosamente su solicitud de información captada a través del Sistema de Acceso a la Información Mexiquense (SAIMEX) de la Secretaría de Salud con número de folio: 00245/SS/IP/2018, que textualmente señala: Requiero el fundamento legal que faculte a los prestadores de servicio social del Hospital General Ecatepec "Las Américas" - Ecatepec de Morelos, a firmar las notas de enfermería, así como el fundamento legal que faculte al personal contratado a delegar a los prestadores de servicio social dichas funciones, Lo anterior, de conformidad con el numeral 9 de la NORMA Oficial Mexicana NOM-004-SSA3-2012, Del expediente clínico. Con fundamento en el artículo 163 y 167 de la Ley de Transparencia y Acceso a la Información Pública del Estado de México y Municipios y en apego a lo expuesto en el Manual General de Organización del Instituto de Salud del Estado de México, el Hospital General de Ecatepec “Las </w:t>
      </w:r>
      <w:proofErr w:type="spellStart"/>
      <w:r w:rsidRPr="00A547D2">
        <w:rPr>
          <w:rFonts w:ascii="Palatino Linotype" w:hAnsi="Palatino Linotype" w:cs="Arial"/>
          <w:i/>
          <w:sz w:val="22"/>
        </w:rPr>
        <w:t>Americas</w:t>
      </w:r>
      <w:proofErr w:type="spellEnd"/>
      <w:r w:rsidRPr="00A547D2">
        <w:rPr>
          <w:rFonts w:ascii="Palatino Linotype" w:hAnsi="Palatino Linotype" w:cs="Arial"/>
          <w:i/>
          <w:sz w:val="22"/>
        </w:rPr>
        <w:t xml:space="preserve">”, forma parte de la estructura orgánica de ese organismo. En tal razón y de conformidad con lo expuesto en el Código Administrativo del Estado de México, en su CAPITULO CUARTO Del Instituto de Salud del Estado de México Artículo 2.5., el Instituto de Salud del Estado de México es un organismo público descentralizado, con personalidad jurídica y patrimonio propios, que tiene por objeto la prestación de los servicios de salud en la Entidad, por lo que este sujeto obligado está imposibilitado de dar atención positiva a su petición; respetuosamente sugiero canalizar su solicitud de información al Instituto de Salud del Estado de México, a través de la dirección electrónica: http://salud.edomex.gob.mx/html/, o en modo presencial en el Módulo de Acceso </w:t>
      </w:r>
      <w:r w:rsidRPr="00A547D2">
        <w:rPr>
          <w:rFonts w:ascii="Palatino Linotype" w:hAnsi="Palatino Linotype" w:cs="Arial"/>
          <w:i/>
          <w:sz w:val="22"/>
        </w:rPr>
        <w:lastRenderedPageBreak/>
        <w:t>a la Información Pública del ISEM, ubicado en Avenida Independencia Oriente número 1009, Colonia Reforma y Ferrocarriles Nacionales, Toluca Estado de México, C.P. 50070, en días y horas hábiles. Sin otro particular, le reitero a usted mi distinguida y atenta consideración.</w:t>
      </w:r>
      <w:r>
        <w:rPr>
          <w:rFonts w:ascii="Palatino Linotype" w:hAnsi="Palatino Linotype" w:cs="Arial"/>
          <w:i/>
          <w:sz w:val="22"/>
        </w:rPr>
        <w:t>” (Sic.)</w:t>
      </w:r>
    </w:p>
    <w:p w:rsidR="00732A00" w:rsidRDefault="00732A00" w:rsidP="00732A00">
      <w:pPr>
        <w:spacing w:before="100" w:beforeAutospacing="1" w:after="100" w:afterAutospacing="1" w:line="360" w:lineRule="auto"/>
        <w:jc w:val="both"/>
        <w:rPr>
          <w:rFonts w:ascii="Palatino Linotype" w:hAnsi="Palatino Linotype" w:cs="Arial"/>
        </w:rPr>
      </w:pPr>
      <w:r w:rsidRPr="004D162E">
        <w:rPr>
          <w:rFonts w:ascii="Palatino Linotype" w:hAnsi="Palatino Linotype" w:cs="Arial"/>
          <w:b/>
        </w:rPr>
        <w:t>TERCERO.</w:t>
      </w:r>
      <w:r w:rsidRPr="004D162E">
        <w:rPr>
          <w:rFonts w:ascii="Palatino Linotype" w:hAnsi="Palatino Linotype" w:cs="Arial"/>
        </w:rPr>
        <w:t xml:space="preserve"> </w:t>
      </w:r>
      <w:r w:rsidRPr="004D162E">
        <w:rPr>
          <w:rFonts w:ascii="Palatino Linotype" w:hAnsi="Palatino Linotype" w:cs="Arial"/>
          <w:b/>
        </w:rPr>
        <w:t>Interposición de los recursos de revisión</w:t>
      </w:r>
      <w:r w:rsidRPr="004D162E">
        <w:rPr>
          <w:rFonts w:ascii="Palatino Linotype" w:hAnsi="Palatino Linotype" w:cs="Arial"/>
        </w:rPr>
        <w:t xml:space="preserve">. Con fecha </w:t>
      </w:r>
      <w:r w:rsidR="00A547D2">
        <w:rPr>
          <w:rFonts w:ascii="Palatino Linotype" w:hAnsi="Palatino Linotype" w:cs="Arial"/>
        </w:rPr>
        <w:t>veintisiete</w:t>
      </w:r>
      <w:r>
        <w:rPr>
          <w:rFonts w:ascii="Palatino Linotype" w:hAnsi="Palatino Linotype" w:cs="Arial"/>
        </w:rPr>
        <w:t xml:space="preserve"> de agosto</w:t>
      </w:r>
      <w:r w:rsidR="00A547D2">
        <w:rPr>
          <w:rFonts w:ascii="Palatino Linotype" w:hAnsi="Palatino Linotype" w:cs="Arial"/>
        </w:rPr>
        <w:t xml:space="preserve"> de dos mil dieciocho, </w:t>
      </w:r>
      <w:r w:rsidRPr="004D162E">
        <w:rPr>
          <w:rFonts w:ascii="Palatino Linotype" w:hAnsi="Palatino Linotype" w:cs="Arial"/>
        </w:rPr>
        <w:t>l</w:t>
      </w:r>
      <w:r w:rsidR="00A547D2">
        <w:rPr>
          <w:rFonts w:ascii="Palatino Linotype" w:hAnsi="Palatino Linotype" w:cs="Arial"/>
        </w:rPr>
        <w:t>a</w:t>
      </w:r>
      <w:r w:rsidRPr="004D162E">
        <w:rPr>
          <w:rFonts w:ascii="Palatino Linotype" w:hAnsi="Palatino Linotype" w:cs="Arial"/>
        </w:rPr>
        <w:t xml:space="preserve"> solicitante una vez vistas las respuestas por parte del </w:t>
      </w:r>
      <w:r w:rsidRPr="004D162E">
        <w:rPr>
          <w:rFonts w:ascii="Palatino Linotype" w:hAnsi="Palatino Linotype" w:cs="Arial"/>
          <w:b/>
        </w:rPr>
        <w:t>Sujeto Obligado</w:t>
      </w:r>
      <w:r w:rsidRPr="004D162E">
        <w:rPr>
          <w:rFonts w:ascii="Palatino Linotype" w:hAnsi="Palatino Linotype" w:cs="Arial"/>
        </w:rPr>
        <w:t xml:space="preserve">, interpuso los recursos de revisión mediante el </w:t>
      </w:r>
      <w:r w:rsidRPr="004D162E">
        <w:rPr>
          <w:rFonts w:ascii="Palatino Linotype" w:hAnsi="Palatino Linotype" w:cs="Arial"/>
          <w:b/>
        </w:rPr>
        <w:t>SAIMEX</w:t>
      </w:r>
      <w:r w:rsidRPr="004D162E">
        <w:rPr>
          <w:rFonts w:ascii="Palatino Linotype" w:hAnsi="Palatino Linotype" w:cs="Arial"/>
        </w:rPr>
        <w:t>, en donde se manifestó</w:t>
      </w:r>
      <w:r>
        <w:rPr>
          <w:rFonts w:ascii="Palatino Linotype" w:hAnsi="Palatino Linotype" w:cs="Arial"/>
        </w:rPr>
        <w:t xml:space="preserve">, </w:t>
      </w:r>
      <w:r w:rsidRPr="004D162E">
        <w:rPr>
          <w:rFonts w:ascii="Palatino Linotype" w:hAnsi="Palatino Linotype" w:cs="Arial"/>
        </w:rPr>
        <w:t>de la siguiente manera:</w:t>
      </w:r>
    </w:p>
    <w:p w:rsidR="00A547D2" w:rsidRPr="004D162E" w:rsidRDefault="00A547D2" w:rsidP="00732A00">
      <w:pPr>
        <w:spacing w:before="100" w:beforeAutospacing="1" w:after="100" w:afterAutospacing="1" w:line="360" w:lineRule="auto"/>
        <w:jc w:val="both"/>
        <w:rPr>
          <w:rFonts w:ascii="Palatino Linotype" w:hAnsi="Palatino Linotype" w:cs="Arial"/>
        </w:rPr>
      </w:pPr>
      <w:r>
        <w:rPr>
          <w:rFonts w:ascii="Palatino Linotype" w:hAnsi="Palatino Linotype" w:cs="Arial"/>
          <w:b/>
          <w:bCs/>
        </w:rPr>
        <w:t>Recurso 03076/INFOEM/IP/RR/2018:</w:t>
      </w:r>
    </w:p>
    <w:p w:rsidR="00732A00" w:rsidRPr="004D162E" w:rsidRDefault="00732A00" w:rsidP="00732A00">
      <w:pPr>
        <w:spacing w:before="100" w:beforeAutospacing="1" w:after="100" w:afterAutospacing="1" w:line="360" w:lineRule="auto"/>
        <w:jc w:val="both"/>
        <w:rPr>
          <w:rFonts w:ascii="Palatino Linotype" w:hAnsi="Palatino Linotype" w:cs="Arial"/>
          <w:b/>
        </w:rPr>
      </w:pPr>
      <w:r w:rsidRPr="004D162E">
        <w:rPr>
          <w:rFonts w:ascii="Palatino Linotype" w:hAnsi="Palatino Linotype" w:cs="Arial"/>
          <w:b/>
        </w:rPr>
        <w:t>a) Acto impugnado</w:t>
      </w:r>
    </w:p>
    <w:p w:rsidR="00732A00" w:rsidRPr="004D162E" w:rsidRDefault="00732A00" w:rsidP="00732A00">
      <w:pPr>
        <w:spacing w:before="100" w:beforeAutospacing="1" w:after="100" w:afterAutospacing="1" w:line="360" w:lineRule="auto"/>
        <w:ind w:left="851" w:right="851"/>
        <w:jc w:val="both"/>
        <w:rPr>
          <w:rFonts w:ascii="Palatino Linotype" w:hAnsi="Palatino Linotype" w:cs="Arial"/>
          <w:i/>
          <w:sz w:val="22"/>
        </w:rPr>
      </w:pPr>
      <w:r w:rsidRPr="004D162E">
        <w:rPr>
          <w:rFonts w:ascii="Palatino Linotype" w:hAnsi="Palatino Linotype" w:cs="Arial"/>
          <w:i/>
          <w:sz w:val="22"/>
        </w:rPr>
        <w:t>“</w:t>
      </w:r>
      <w:r w:rsidR="00A547D2" w:rsidRPr="00A547D2">
        <w:rPr>
          <w:rFonts w:ascii="Palatino Linotype" w:hAnsi="Palatino Linotype" w:cs="Arial"/>
          <w:i/>
          <w:sz w:val="22"/>
        </w:rPr>
        <w:t>La respuesta de no competencia emitida por la Secretaría de Salud del Estado de México.</w:t>
      </w:r>
      <w:r w:rsidRPr="004D162E">
        <w:rPr>
          <w:rFonts w:ascii="Palatino Linotype" w:hAnsi="Palatino Linotype" w:cs="Arial"/>
          <w:i/>
          <w:sz w:val="22"/>
        </w:rPr>
        <w:t>” (</w:t>
      </w:r>
      <w:proofErr w:type="gramStart"/>
      <w:r w:rsidRPr="004D162E">
        <w:rPr>
          <w:rFonts w:ascii="Palatino Linotype" w:hAnsi="Palatino Linotype" w:cs="Arial"/>
          <w:i/>
          <w:sz w:val="22"/>
        </w:rPr>
        <w:t>sic</w:t>
      </w:r>
      <w:proofErr w:type="gramEnd"/>
      <w:r w:rsidRPr="004D162E">
        <w:rPr>
          <w:rFonts w:ascii="Palatino Linotype" w:hAnsi="Palatino Linotype" w:cs="Arial"/>
          <w:i/>
          <w:sz w:val="22"/>
        </w:rPr>
        <w:t>.)</w:t>
      </w:r>
    </w:p>
    <w:p w:rsidR="00732A00" w:rsidRPr="004D162E" w:rsidRDefault="00732A00" w:rsidP="00732A00">
      <w:pPr>
        <w:spacing w:before="100" w:beforeAutospacing="1" w:after="100" w:afterAutospacing="1" w:line="360" w:lineRule="auto"/>
        <w:jc w:val="both"/>
        <w:rPr>
          <w:rFonts w:ascii="Palatino Linotype" w:hAnsi="Palatino Linotype" w:cs="Arial"/>
          <w:b/>
        </w:rPr>
      </w:pPr>
      <w:r w:rsidRPr="004D162E">
        <w:rPr>
          <w:rFonts w:ascii="Palatino Linotype" w:hAnsi="Palatino Linotype" w:cs="Arial"/>
          <w:b/>
        </w:rPr>
        <w:t>b) Razones o motivos de la inconformidad</w:t>
      </w:r>
    </w:p>
    <w:p w:rsidR="00732A00" w:rsidRPr="004D162E" w:rsidRDefault="00732A00" w:rsidP="00732A00">
      <w:pPr>
        <w:spacing w:before="100" w:beforeAutospacing="1" w:after="100" w:afterAutospacing="1"/>
        <w:ind w:left="851" w:right="851"/>
        <w:jc w:val="both"/>
        <w:rPr>
          <w:rFonts w:ascii="Palatino Linotype" w:hAnsi="Palatino Linotype" w:cs="Arial"/>
          <w:i/>
          <w:sz w:val="22"/>
        </w:rPr>
      </w:pPr>
      <w:r w:rsidRPr="004D162E">
        <w:rPr>
          <w:rFonts w:ascii="Palatino Linotype" w:hAnsi="Palatino Linotype" w:cs="Arial"/>
          <w:i/>
          <w:sz w:val="22"/>
        </w:rPr>
        <w:t>“</w:t>
      </w:r>
      <w:r w:rsidR="00A547D2" w:rsidRPr="00A547D2">
        <w:rPr>
          <w:rFonts w:ascii="Palatino Linotype" w:hAnsi="Palatino Linotype" w:cs="Arial"/>
          <w:i/>
          <w:sz w:val="22"/>
        </w:rPr>
        <w:t xml:space="preserve">El sujeto obligado, presentó su respuesta fuera de tiempo, lo anterior de conformidad con el artículo 167 de la Ley de Transparencia y Acceso a la Información Pública del Estado de México y Municipios. En ese tenor, el sujeto obligado contaba con tres días hábiles posteriores al ingreso de la solicitud, es decir hasta el día 9 de agosto, para notificar la no competencia en atención a la solicitud. No obstante, transcurrió el plazo de 15 días hábiles para otorgar respuesta (hasta el día de hoy 27 de agosto de 2018), para manifestar la no competencia, con lo que el sujeto obligado incumplió tanto en los plazos de Ley como en el procedimiento para su atención ya que el citado artículo en su último párrafo señala que en caso de no declinar la competencia en los términos establecidos, debe canalizar la solicitud al sujeto obligado competente, procedimiento que no fue seguido en el caso que nos ocupa. Aunado a lo anterior y de conformidad con el artículo 49 de la citada Ley, la resolución de no competencia tiene que ser autorizada por el comité de transparencia de la entidad, situación que no se demuestra en la </w:t>
      </w:r>
      <w:r w:rsidR="00A547D2" w:rsidRPr="00A547D2">
        <w:rPr>
          <w:rFonts w:ascii="Palatino Linotype" w:hAnsi="Palatino Linotype" w:cs="Arial"/>
          <w:i/>
          <w:sz w:val="22"/>
        </w:rPr>
        <w:lastRenderedPageBreak/>
        <w:t>atención de la solicitud 00245/SSALUD/IP/2018, ya que el sujeto obligado no turnó la solicitud a ninguna unidad administrativa para su atención y mucho menos la sometió a su comité de transparencia para su sanción y en su caso su aprobación. Por lo anterior, solicito que el sujeto obligado se esté al procedimiento establecido en el artículo 167 de la Ley y sea él quien canalice la solicitud al sujeto obligado competente, por no estar a los plazos establecidos en la Ley de la materia, aunado a que la no competencia manifestada no fue aprobada por su comité de transparencia por lo que carece de sustento y no da certeza de la misma.</w:t>
      </w:r>
      <w:r w:rsidRPr="004D162E">
        <w:rPr>
          <w:rFonts w:ascii="Palatino Linotype" w:hAnsi="Palatino Linotype" w:cs="Arial"/>
          <w:i/>
          <w:sz w:val="22"/>
        </w:rPr>
        <w:t>” (</w:t>
      </w:r>
      <w:proofErr w:type="gramStart"/>
      <w:r w:rsidRPr="004D162E">
        <w:rPr>
          <w:rFonts w:ascii="Palatino Linotype" w:hAnsi="Palatino Linotype" w:cs="Arial"/>
          <w:i/>
          <w:sz w:val="22"/>
        </w:rPr>
        <w:t>sic</w:t>
      </w:r>
      <w:proofErr w:type="gramEnd"/>
      <w:r w:rsidRPr="004D162E">
        <w:rPr>
          <w:rFonts w:ascii="Palatino Linotype" w:hAnsi="Palatino Linotype" w:cs="Arial"/>
          <w:i/>
          <w:sz w:val="22"/>
        </w:rPr>
        <w:t>.)</w:t>
      </w:r>
    </w:p>
    <w:p w:rsidR="00A547D2" w:rsidRPr="004D162E" w:rsidRDefault="00A547D2" w:rsidP="00A547D2">
      <w:pPr>
        <w:spacing w:before="100" w:beforeAutospacing="1" w:after="100" w:afterAutospacing="1" w:line="360" w:lineRule="auto"/>
        <w:jc w:val="both"/>
        <w:rPr>
          <w:rFonts w:ascii="Palatino Linotype" w:hAnsi="Palatino Linotype" w:cs="Arial"/>
        </w:rPr>
      </w:pPr>
      <w:r>
        <w:rPr>
          <w:rFonts w:ascii="Palatino Linotype" w:hAnsi="Palatino Linotype" w:cs="Arial"/>
          <w:b/>
          <w:bCs/>
        </w:rPr>
        <w:t>Recurso 03077/INFOEM/IP/RR/2018:</w:t>
      </w:r>
    </w:p>
    <w:p w:rsidR="00A547D2" w:rsidRPr="004D162E" w:rsidRDefault="00A547D2" w:rsidP="00A547D2">
      <w:pPr>
        <w:spacing w:before="100" w:beforeAutospacing="1" w:after="100" w:afterAutospacing="1" w:line="360" w:lineRule="auto"/>
        <w:jc w:val="both"/>
        <w:rPr>
          <w:rFonts w:ascii="Palatino Linotype" w:hAnsi="Palatino Linotype" w:cs="Arial"/>
          <w:b/>
        </w:rPr>
      </w:pPr>
      <w:r w:rsidRPr="004D162E">
        <w:rPr>
          <w:rFonts w:ascii="Palatino Linotype" w:hAnsi="Palatino Linotype" w:cs="Arial"/>
          <w:b/>
        </w:rPr>
        <w:t>a) Acto impugnado</w:t>
      </w:r>
    </w:p>
    <w:p w:rsidR="00A547D2" w:rsidRPr="004D162E" w:rsidRDefault="00A547D2" w:rsidP="00A547D2">
      <w:pPr>
        <w:spacing w:before="100" w:beforeAutospacing="1" w:after="100" w:afterAutospacing="1" w:line="360" w:lineRule="auto"/>
        <w:ind w:left="851" w:right="851"/>
        <w:jc w:val="both"/>
        <w:rPr>
          <w:rFonts w:ascii="Palatino Linotype" w:hAnsi="Palatino Linotype" w:cs="Arial"/>
          <w:i/>
          <w:sz w:val="22"/>
        </w:rPr>
      </w:pPr>
      <w:r w:rsidRPr="004D162E">
        <w:rPr>
          <w:rFonts w:ascii="Palatino Linotype" w:hAnsi="Palatino Linotype" w:cs="Arial"/>
          <w:i/>
          <w:sz w:val="22"/>
        </w:rPr>
        <w:t>“</w:t>
      </w:r>
      <w:r w:rsidRPr="00A547D2">
        <w:rPr>
          <w:rFonts w:ascii="Palatino Linotype" w:hAnsi="Palatino Linotype" w:cs="Arial"/>
          <w:i/>
          <w:sz w:val="22"/>
        </w:rPr>
        <w:t>La respuesta proporcionada por el sujeto obligado.</w:t>
      </w:r>
      <w:r w:rsidRPr="004D162E">
        <w:rPr>
          <w:rFonts w:ascii="Palatino Linotype" w:hAnsi="Palatino Linotype" w:cs="Arial"/>
          <w:i/>
          <w:sz w:val="22"/>
        </w:rPr>
        <w:t>” (</w:t>
      </w:r>
      <w:proofErr w:type="gramStart"/>
      <w:r w:rsidRPr="004D162E">
        <w:rPr>
          <w:rFonts w:ascii="Palatino Linotype" w:hAnsi="Palatino Linotype" w:cs="Arial"/>
          <w:i/>
          <w:sz w:val="22"/>
        </w:rPr>
        <w:t>sic</w:t>
      </w:r>
      <w:proofErr w:type="gramEnd"/>
      <w:r w:rsidRPr="004D162E">
        <w:rPr>
          <w:rFonts w:ascii="Palatino Linotype" w:hAnsi="Palatino Linotype" w:cs="Arial"/>
          <w:i/>
          <w:sz w:val="22"/>
        </w:rPr>
        <w:t>.)</w:t>
      </w:r>
    </w:p>
    <w:p w:rsidR="00A547D2" w:rsidRPr="004D162E" w:rsidRDefault="00A547D2" w:rsidP="00A547D2">
      <w:pPr>
        <w:spacing w:before="100" w:beforeAutospacing="1" w:after="100" w:afterAutospacing="1" w:line="360" w:lineRule="auto"/>
        <w:jc w:val="both"/>
        <w:rPr>
          <w:rFonts w:ascii="Palatino Linotype" w:hAnsi="Palatino Linotype" w:cs="Arial"/>
          <w:b/>
        </w:rPr>
      </w:pPr>
      <w:r w:rsidRPr="004D162E">
        <w:rPr>
          <w:rFonts w:ascii="Palatino Linotype" w:hAnsi="Palatino Linotype" w:cs="Arial"/>
          <w:b/>
        </w:rPr>
        <w:t>b) Razones o motivos de la inconformidad</w:t>
      </w:r>
    </w:p>
    <w:p w:rsidR="00A547D2" w:rsidRPr="00A547D2" w:rsidRDefault="00A547D2" w:rsidP="00A547D2">
      <w:pPr>
        <w:spacing w:before="100" w:beforeAutospacing="1" w:after="100" w:afterAutospacing="1"/>
        <w:ind w:left="851" w:right="851"/>
        <w:jc w:val="both"/>
        <w:rPr>
          <w:rFonts w:ascii="Palatino Linotype" w:hAnsi="Palatino Linotype" w:cs="Arial"/>
          <w:i/>
          <w:sz w:val="22"/>
        </w:rPr>
      </w:pPr>
      <w:r w:rsidRPr="004D162E">
        <w:rPr>
          <w:rFonts w:ascii="Palatino Linotype" w:hAnsi="Palatino Linotype" w:cs="Arial"/>
          <w:i/>
          <w:sz w:val="22"/>
        </w:rPr>
        <w:t>“</w:t>
      </w:r>
      <w:r w:rsidRPr="00A547D2">
        <w:rPr>
          <w:rFonts w:ascii="Palatino Linotype" w:hAnsi="Palatino Linotype" w:cs="Arial"/>
          <w:i/>
          <w:sz w:val="22"/>
        </w:rPr>
        <w:t xml:space="preserve">El sujeto obligado, presentó su respuesta fuera de tiempo, lo anterior de conformidad con el artículo 167 de la Ley de Transparencia y Acceso a la Información Pública del Estado de México y Municipios. En ese tenor, el sujeto obligado contaba con tres días hábiles posteriores al ingreso de la solicitud, es decir hasta el día 9 de agosto, para notificar la no competencia en atención a la solicitud. No obstante, transcurrió el plazo de 15 días hábiles para otorgar respuesta (hasta el día de hoy 27 de agosto de 2018), para manifestar la no competencia, con lo que el sujeto obligado incumplió tanto en los plazos de Ley como en el procedimiento para su atención ya que el citado artículo en su último párrafo señala que en caso de no declinar la competencia en los términos establecidos, debe canalizar la solicitud al sujeto obligado competente, procedimiento que no fue seguido en el caso que nos ocupa. Aunado a lo anterior y de conformidad con el artículo 49 de la citada Ley, la resolución de no competencia tiene que ser autorizada por el comité de transparencia de la entidad, situación que no se demuestra en la atención de la solicitud 00244/SSALUD/IP/2018, ya que el sujeto obligado no turnó la solicitud a ninguna unidad administrativa para su atención y mucho menos la sometió a su comité de transparencia para su sanción y en su caso su aprobación. Por lo anterior, solicito que el sujeto obligado se esté al procedimiento establecido en el artículo 167 de la Ley y sea él quien canalice la solicitud al sujeto </w:t>
      </w:r>
      <w:r w:rsidRPr="00A547D2">
        <w:rPr>
          <w:rFonts w:ascii="Palatino Linotype" w:hAnsi="Palatino Linotype" w:cs="Arial"/>
          <w:i/>
          <w:sz w:val="22"/>
        </w:rPr>
        <w:lastRenderedPageBreak/>
        <w:t>obligado competente, por no estar a los plazos establecidos en la Ley de la materia, aunado a que la no competencia manifestada no fue aprobada por su comité de transparencia por lo que carece de sustento y no da certeza de la misma. Cabe señalar que presenté dos solicitudes en los mismo términos y en ambas se les dio igual tratamiento, es decir, se notificó la no competencia fuera de tiempo, por lo que solicito se le sancione ante la evidente negligencia por parte del personal que atiende las solicitudes de acceso a la información.</w:t>
      </w:r>
      <w:r w:rsidRPr="004D162E">
        <w:rPr>
          <w:rFonts w:ascii="Palatino Linotype" w:hAnsi="Palatino Linotype" w:cs="Arial"/>
          <w:i/>
          <w:sz w:val="22"/>
        </w:rPr>
        <w:t>” (</w:t>
      </w:r>
      <w:proofErr w:type="gramStart"/>
      <w:r w:rsidRPr="004D162E">
        <w:rPr>
          <w:rFonts w:ascii="Palatino Linotype" w:hAnsi="Palatino Linotype" w:cs="Arial"/>
          <w:i/>
          <w:sz w:val="22"/>
        </w:rPr>
        <w:t>sic</w:t>
      </w:r>
      <w:proofErr w:type="gramEnd"/>
      <w:r w:rsidRPr="004D162E">
        <w:rPr>
          <w:rFonts w:ascii="Palatino Linotype" w:hAnsi="Palatino Linotype" w:cs="Arial"/>
          <w:i/>
          <w:sz w:val="22"/>
        </w:rPr>
        <w:t>.)</w:t>
      </w:r>
    </w:p>
    <w:p w:rsidR="00732A00" w:rsidRPr="00FA2455" w:rsidRDefault="00732A00" w:rsidP="00732A00">
      <w:pPr>
        <w:spacing w:before="100" w:beforeAutospacing="1" w:after="100" w:afterAutospacing="1" w:line="360" w:lineRule="auto"/>
        <w:jc w:val="both"/>
        <w:rPr>
          <w:rFonts w:ascii="Palatino Linotype" w:hAnsi="Palatino Linotype" w:cs="Arial"/>
        </w:rPr>
      </w:pPr>
      <w:r w:rsidRPr="00FA2455">
        <w:rPr>
          <w:rFonts w:ascii="Palatino Linotype" w:hAnsi="Palatino Linotype" w:cs="Arial"/>
          <w:b/>
        </w:rPr>
        <w:t>CUARTO.</w:t>
      </w:r>
      <w:r w:rsidRPr="00FA2455">
        <w:rPr>
          <w:rFonts w:ascii="Palatino Linotype" w:hAnsi="Palatino Linotype" w:cs="Arial"/>
        </w:rPr>
        <w:t xml:space="preserve"> </w:t>
      </w:r>
      <w:r w:rsidRPr="00FA2455">
        <w:rPr>
          <w:rFonts w:ascii="Palatino Linotype" w:hAnsi="Palatino Linotype" w:cs="Arial"/>
          <w:b/>
        </w:rPr>
        <w:t>Turno</w:t>
      </w:r>
      <w:r w:rsidRPr="00FA2455">
        <w:rPr>
          <w:rFonts w:ascii="Palatino Linotype" w:hAnsi="Palatino Linotype" w:cs="Arial"/>
        </w:rPr>
        <w:t xml:space="preserve">. Con fundamento en lo dispuesto, en el artículo 185 fracción I, de la Ley de Transparencia y Acceso a la Información Pública del Estado de México y Municipios, el recurso de revisión con número </w:t>
      </w:r>
      <w:r w:rsidR="00A547D2">
        <w:rPr>
          <w:rFonts w:ascii="Palatino Linotype" w:hAnsi="Palatino Linotype" w:cs="Arial"/>
          <w:b/>
        </w:rPr>
        <w:t>03076</w:t>
      </w:r>
      <w:r w:rsidRPr="00FA2455">
        <w:rPr>
          <w:rFonts w:ascii="Palatino Linotype" w:hAnsi="Palatino Linotype" w:cs="Arial"/>
          <w:b/>
        </w:rPr>
        <w:t xml:space="preserve">/INFOEM/IP/RR/2018 </w:t>
      </w:r>
      <w:r w:rsidRPr="00FA2455">
        <w:rPr>
          <w:rFonts w:ascii="Palatino Linotype" w:hAnsi="Palatino Linotype" w:cs="Arial"/>
        </w:rPr>
        <w:t>fue turnado al Comisionado ponente Javier Martínez Cruz,</w:t>
      </w:r>
      <w:r w:rsidRPr="00FA2455">
        <w:rPr>
          <w:rFonts w:ascii="Palatino Linotype" w:hAnsi="Palatino Linotype" w:cs="Arial"/>
          <w:b/>
        </w:rPr>
        <w:t xml:space="preserve"> </w:t>
      </w:r>
      <w:r w:rsidRPr="00FA2455">
        <w:rPr>
          <w:rFonts w:ascii="Palatino Linotype" w:hAnsi="Palatino Linotype" w:cs="Arial"/>
        </w:rPr>
        <w:t>el recurso de revisión</w:t>
      </w:r>
      <w:r w:rsidRPr="00FA2455">
        <w:rPr>
          <w:rFonts w:ascii="Palatino Linotype" w:hAnsi="Palatino Linotype" w:cs="Arial"/>
          <w:b/>
        </w:rPr>
        <w:t xml:space="preserve"> </w:t>
      </w:r>
      <w:r w:rsidRPr="00CA3513">
        <w:rPr>
          <w:rFonts w:ascii="Palatino Linotype" w:hAnsi="Palatino Linotype" w:cs="Arial"/>
        </w:rPr>
        <w:t>y</w:t>
      </w:r>
      <w:r>
        <w:rPr>
          <w:rFonts w:ascii="Palatino Linotype" w:hAnsi="Palatino Linotype" w:cs="Arial"/>
          <w:b/>
        </w:rPr>
        <w:t xml:space="preserve"> </w:t>
      </w:r>
      <w:r w:rsidR="00A547D2" w:rsidRPr="00A547D2">
        <w:rPr>
          <w:rFonts w:ascii="Palatino Linotype" w:hAnsi="Palatino Linotype" w:cs="Arial"/>
        </w:rPr>
        <w:t>el recurso</w:t>
      </w:r>
      <w:r w:rsidR="00A547D2">
        <w:rPr>
          <w:rFonts w:ascii="Palatino Linotype" w:hAnsi="Palatino Linotype" w:cs="Arial"/>
          <w:b/>
        </w:rPr>
        <w:t xml:space="preserve"> </w:t>
      </w:r>
      <w:r w:rsidRPr="00FA2455">
        <w:rPr>
          <w:rFonts w:ascii="Palatino Linotype" w:hAnsi="Palatino Linotype" w:cs="Arial"/>
          <w:b/>
        </w:rPr>
        <w:t>0</w:t>
      </w:r>
      <w:r w:rsidR="00A547D2">
        <w:rPr>
          <w:rFonts w:ascii="Palatino Linotype" w:hAnsi="Palatino Linotype" w:cs="Arial"/>
          <w:b/>
        </w:rPr>
        <w:t>307</w:t>
      </w:r>
      <w:r>
        <w:rPr>
          <w:rFonts w:ascii="Palatino Linotype" w:hAnsi="Palatino Linotype" w:cs="Arial"/>
          <w:b/>
        </w:rPr>
        <w:t>7</w:t>
      </w:r>
      <w:r w:rsidRPr="00FA2455">
        <w:rPr>
          <w:rFonts w:ascii="Palatino Linotype" w:hAnsi="Palatino Linotype" w:cs="Arial"/>
          <w:b/>
        </w:rPr>
        <w:t>/INFOEM/IP/RR/2018</w:t>
      </w:r>
      <w:r>
        <w:rPr>
          <w:rFonts w:ascii="Palatino Linotype" w:hAnsi="Palatino Linotype" w:cs="Arial"/>
          <w:b/>
        </w:rPr>
        <w:t xml:space="preserve"> </w:t>
      </w:r>
      <w:r>
        <w:rPr>
          <w:rFonts w:ascii="Palatino Linotype" w:hAnsi="Palatino Linotype" w:cs="Arial"/>
        </w:rPr>
        <w:t xml:space="preserve">a la Comisionada Eva Abaid Yapur, </w:t>
      </w:r>
      <w:r w:rsidRPr="00FA2455">
        <w:rPr>
          <w:rFonts w:ascii="Palatino Linotype" w:hAnsi="Palatino Linotype" w:cs="Arial"/>
        </w:rPr>
        <w:t>para su revisión y análisis sobre la admisión o desechamiento de</w:t>
      </w:r>
      <w:r>
        <w:rPr>
          <w:rFonts w:ascii="Palatino Linotype" w:hAnsi="Palatino Linotype" w:cs="Arial"/>
        </w:rPr>
        <w:t xml:space="preserve"> </w:t>
      </w:r>
      <w:r w:rsidRPr="00FA2455">
        <w:rPr>
          <w:rFonts w:ascii="Palatino Linotype" w:hAnsi="Palatino Linotype" w:cs="Arial"/>
        </w:rPr>
        <w:t>l</w:t>
      </w:r>
      <w:r>
        <w:rPr>
          <w:rFonts w:ascii="Palatino Linotype" w:hAnsi="Palatino Linotype" w:cs="Arial"/>
        </w:rPr>
        <w:t>os</w:t>
      </w:r>
      <w:r w:rsidRPr="00FA2455">
        <w:rPr>
          <w:rFonts w:ascii="Palatino Linotype" w:hAnsi="Palatino Linotype" w:cs="Arial"/>
        </w:rPr>
        <w:t xml:space="preserve"> mismo</w:t>
      </w:r>
      <w:r>
        <w:rPr>
          <w:rFonts w:ascii="Palatino Linotype" w:hAnsi="Palatino Linotype" w:cs="Arial"/>
        </w:rPr>
        <w:t>s</w:t>
      </w:r>
      <w:r w:rsidRPr="00FA2455">
        <w:rPr>
          <w:rFonts w:ascii="Palatino Linotype" w:hAnsi="Palatino Linotype" w:cs="Arial"/>
        </w:rPr>
        <w:t>.</w:t>
      </w:r>
    </w:p>
    <w:p w:rsidR="00732A00" w:rsidRPr="00FA2455" w:rsidRDefault="00732A00" w:rsidP="00732A00">
      <w:pPr>
        <w:spacing w:before="100" w:beforeAutospacing="1" w:after="100" w:afterAutospacing="1" w:line="360" w:lineRule="auto"/>
        <w:jc w:val="both"/>
        <w:rPr>
          <w:rFonts w:ascii="Palatino Linotype" w:hAnsi="Palatino Linotype" w:cs="Arial"/>
        </w:rPr>
      </w:pPr>
      <w:r w:rsidRPr="00FA2455">
        <w:rPr>
          <w:rFonts w:ascii="Palatino Linotype" w:hAnsi="Palatino Linotype" w:cs="Arial"/>
          <w:b/>
          <w:lang w:val="es-MX"/>
        </w:rPr>
        <w:t xml:space="preserve">QUINTO. Admisión. </w:t>
      </w:r>
      <w:r w:rsidRPr="00FA2455">
        <w:rPr>
          <w:rFonts w:ascii="Palatino Linotype" w:hAnsi="Palatino Linotype" w:cs="Arial"/>
        </w:rPr>
        <w:t xml:space="preserve">Con fecha </w:t>
      </w:r>
      <w:r w:rsidR="00A547D2">
        <w:rPr>
          <w:rFonts w:ascii="Palatino Linotype" w:hAnsi="Palatino Linotype" w:cs="Arial"/>
        </w:rPr>
        <w:t>treinta y uno</w:t>
      </w:r>
      <w:r>
        <w:rPr>
          <w:rFonts w:ascii="Palatino Linotype" w:hAnsi="Palatino Linotype" w:cs="Arial"/>
        </w:rPr>
        <w:t xml:space="preserve"> </w:t>
      </w:r>
      <w:r w:rsidRPr="00FA2455">
        <w:rPr>
          <w:rFonts w:ascii="Palatino Linotype" w:hAnsi="Palatino Linotype" w:cs="Arial"/>
        </w:rPr>
        <w:t xml:space="preserve">de agosto de dos mil dieciocho, este Órgano Garante denominado, Instituto de Transparencia, Acceso a la Información Pública y Protección de Datos Personales del Estado de México y Municipios, tuvo a bien admitir a trámite los recursos de revisión que se resuelven, dando un plazo de siete días hábiles para que las partes manifestaran lo que a su derecho conviniera, ofrecieran pruebas, formularan alegatos y el </w:t>
      </w:r>
      <w:r w:rsidRPr="00FA2455">
        <w:rPr>
          <w:rFonts w:ascii="Palatino Linotype" w:hAnsi="Palatino Linotype" w:cs="Arial"/>
          <w:b/>
        </w:rPr>
        <w:t xml:space="preserve">Sujeto Obligado </w:t>
      </w:r>
      <w:r w:rsidRPr="00FA2455">
        <w:rPr>
          <w:rFonts w:ascii="Palatino Linotype" w:hAnsi="Palatino Linotype" w:cs="Arial"/>
        </w:rPr>
        <w:t>presentara su informe justificado.</w:t>
      </w:r>
    </w:p>
    <w:p w:rsidR="00732A00" w:rsidRPr="00FA2455" w:rsidRDefault="00732A00" w:rsidP="00732A00">
      <w:pPr>
        <w:spacing w:before="100" w:beforeAutospacing="1" w:after="100" w:afterAutospacing="1" w:line="360" w:lineRule="auto"/>
        <w:jc w:val="both"/>
        <w:rPr>
          <w:rFonts w:ascii="Palatino Linotype" w:hAnsi="Palatino Linotype" w:cs="Arial"/>
        </w:rPr>
      </w:pPr>
      <w:r w:rsidRPr="00FA2455">
        <w:rPr>
          <w:rFonts w:ascii="Palatino Linotype" w:hAnsi="Palatino Linotype" w:cs="Arial"/>
          <w:b/>
        </w:rPr>
        <w:t xml:space="preserve">SEXTO. Acumulación. </w:t>
      </w:r>
      <w:r>
        <w:rPr>
          <w:rFonts w:ascii="Palatino Linotype" w:hAnsi="Palatino Linotype" w:cs="Arial"/>
        </w:rPr>
        <w:t>En la Tri</w:t>
      </w:r>
      <w:r w:rsidRPr="00FA2455">
        <w:rPr>
          <w:rFonts w:ascii="Palatino Linotype" w:hAnsi="Palatino Linotype" w:cs="Arial"/>
        </w:rPr>
        <w:t xml:space="preserve">gésima </w:t>
      </w:r>
      <w:r w:rsidR="00A547D2">
        <w:rPr>
          <w:rFonts w:ascii="Palatino Linotype" w:hAnsi="Palatino Linotype" w:cs="Arial"/>
        </w:rPr>
        <w:t>Segunda</w:t>
      </w:r>
      <w:r w:rsidRPr="00FA2455">
        <w:rPr>
          <w:rFonts w:ascii="Palatino Linotype" w:hAnsi="Palatino Linotype" w:cs="Arial"/>
        </w:rPr>
        <w:t xml:space="preserve"> Sesión Ordinaria del Pleno de este Instituto de Transparencia, Acceso a la Información Pública y Protección de Datos Personales del Estado de México y Municipios, celebrada en fecha </w:t>
      </w:r>
      <w:r w:rsidR="00A547D2">
        <w:rPr>
          <w:rFonts w:ascii="Palatino Linotype" w:hAnsi="Palatino Linotype" w:cs="Arial"/>
        </w:rPr>
        <w:t>cinco de septiembre</w:t>
      </w:r>
      <w:r w:rsidRPr="00FA2455">
        <w:rPr>
          <w:rFonts w:ascii="Palatino Linotype" w:hAnsi="Palatino Linotype" w:cs="Arial"/>
        </w:rPr>
        <w:t xml:space="preserve"> de dos mil dieciocho, al advertir la conexidad de causa y con la finalidad de evitar que se dicten resoluciones contradictorias, de conformidad con el artículo </w:t>
      </w:r>
      <w:r w:rsidRPr="00FA2455">
        <w:rPr>
          <w:rFonts w:ascii="Palatino Linotype" w:hAnsi="Palatino Linotype" w:cs="Arial"/>
        </w:rPr>
        <w:lastRenderedPageBreak/>
        <w:t xml:space="preserve">195 de la Ley de Transparencia y Acceso a la Información Pública del Estado de México y Municipios y artículo 18 del Código de Procedimientos Administrativos del Estado de México de manera supletoria, se acordó la acumulación de los recursos antes señalados, determinando que fuera Ponente, el Comisionado </w:t>
      </w:r>
      <w:r w:rsidRPr="00FA2455">
        <w:rPr>
          <w:rFonts w:ascii="Palatino Linotype" w:hAnsi="Palatino Linotype" w:cs="Arial"/>
          <w:b/>
        </w:rPr>
        <w:t>Javier Martínez Cruz</w:t>
      </w:r>
      <w:r w:rsidRPr="00FA2455">
        <w:rPr>
          <w:rFonts w:ascii="Palatino Linotype" w:hAnsi="Palatino Linotype" w:cs="Arial"/>
        </w:rPr>
        <w:t>.</w:t>
      </w:r>
    </w:p>
    <w:p w:rsidR="00732A00" w:rsidRPr="00435B66" w:rsidRDefault="00732A00" w:rsidP="00732A00">
      <w:pPr>
        <w:spacing w:before="100" w:beforeAutospacing="1" w:after="100" w:afterAutospacing="1" w:line="360" w:lineRule="auto"/>
        <w:jc w:val="both"/>
        <w:rPr>
          <w:rFonts w:ascii="Palatino Linotype" w:hAnsi="Palatino Linotype" w:cs="Arial"/>
        </w:rPr>
      </w:pPr>
      <w:r>
        <w:rPr>
          <w:rFonts w:ascii="Palatino Linotype" w:hAnsi="Palatino Linotype" w:cs="Arial"/>
          <w:b/>
        </w:rPr>
        <w:t>SÉPTIMO</w:t>
      </w:r>
      <w:r w:rsidRPr="00435B66">
        <w:rPr>
          <w:rFonts w:ascii="Palatino Linotype" w:hAnsi="Palatino Linotype" w:cs="Arial"/>
          <w:b/>
        </w:rPr>
        <w:t>. Manifestaciones.</w:t>
      </w:r>
      <w:r w:rsidRPr="00435B66">
        <w:rPr>
          <w:rFonts w:ascii="Palatino Linotype" w:hAnsi="Palatino Linotype" w:cs="Arial"/>
        </w:rPr>
        <w:t xml:space="preserve"> De la revisión a</w:t>
      </w:r>
      <w:r>
        <w:rPr>
          <w:rFonts w:ascii="Palatino Linotype" w:hAnsi="Palatino Linotype" w:cs="Arial"/>
        </w:rPr>
        <w:t xml:space="preserve"> las constancias que integran los</w:t>
      </w:r>
      <w:r w:rsidRPr="00435B66">
        <w:rPr>
          <w:rFonts w:ascii="Palatino Linotype" w:hAnsi="Palatino Linotype" w:cs="Arial"/>
        </w:rPr>
        <w:t xml:space="preserve"> expediente</w:t>
      </w:r>
      <w:r>
        <w:rPr>
          <w:rFonts w:ascii="Palatino Linotype" w:hAnsi="Palatino Linotype" w:cs="Arial"/>
        </w:rPr>
        <w:t>s</w:t>
      </w:r>
      <w:r w:rsidRPr="00435B66">
        <w:rPr>
          <w:rFonts w:ascii="Palatino Linotype" w:hAnsi="Palatino Linotype" w:cs="Arial"/>
        </w:rPr>
        <w:t xml:space="preserve"> electrónico</w:t>
      </w:r>
      <w:r>
        <w:rPr>
          <w:rFonts w:ascii="Palatino Linotype" w:hAnsi="Palatino Linotype" w:cs="Arial"/>
        </w:rPr>
        <w:t>s</w:t>
      </w:r>
      <w:r w:rsidRPr="00435B66">
        <w:rPr>
          <w:rFonts w:ascii="Palatino Linotype" w:hAnsi="Palatino Linotype" w:cs="Arial"/>
        </w:rPr>
        <w:t xml:space="preserve"> al rubro indicado, no se advierte manifestación alguna por ninguna de las partes.</w:t>
      </w:r>
    </w:p>
    <w:p w:rsidR="00732A00" w:rsidRPr="00435B66" w:rsidRDefault="00732A00" w:rsidP="00732A00">
      <w:pPr>
        <w:spacing w:before="100" w:beforeAutospacing="1" w:after="100" w:afterAutospacing="1" w:line="360" w:lineRule="auto"/>
        <w:jc w:val="both"/>
        <w:rPr>
          <w:rFonts w:ascii="Palatino Linotype" w:hAnsi="Palatino Linotype" w:cs="Arial"/>
        </w:rPr>
      </w:pPr>
      <w:r w:rsidRPr="000C0CCA">
        <w:rPr>
          <w:rFonts w:ascii="Palatino Linotype" w:hAnsi="Palatino Linotype" w:cs="Arial"/>
          <w:b/>
        </w:rPr>
        <w:t>OCTAVO. Cierre de instrucción.</w:t>
      </w:r>
      <w:r w:rsidRPr="000C0CCA">
        <w:rPr>
          <w:rFonts w:ascii="Palatino Linotype" w:hAnsi="Palatino Linotype" w:cs="Arial"/>
        </w:rPr>
        <w:t xml:space="preserve"> Con fecha </w:t>
      </w:r>
      <w:r w:rsidR="000C0CCA" w:rsidRPr="000C0CCA">
        <w:rPr>
          <w:rFonts w:ascii="Palatino Linotype" w:hAnsi="Palatino Linotype" w:cs="Arial"/>
        </w:rPr>
        <w:t>veinticinco de septiembre</w:t>
      </w:r>
      <w:r w:rsidRPr="000C0CCA">
        <w:rPr>
          <w:rFonts w:ascii="Palatino Linotype" w:hAnsi="Palatino Linotype" w:cs="Arial"/>
        </w:rPr>
        <w:t xml:space="preserve"> de dos mil dieciocho, el Comisionado ponente determinó el cierre de instrucción en los recursos de revisión, en términos de la fracción VI del artículo 185 de la Ley de Transparencia y Acceso a la Información Pública del Estado de México y Municipios.</w:t>
      </w:r>
    </w:p>
    <w:p w:rsidR="00F70825" w:rsidRPr="00435B66" w:rsidRDefault="00F70825" w:rsidP="00F70825">
      <w:pPr>
        <w:spacing w:before="100" w:beforeAutospacing="1" w:after="100" w:afterAutospacing="1" w:line="360" w:lineRule="auto"/>
        <w:jc w:val="center"/>
        <w:rPr>
          <w:rFonts w:ascii="Palatino Linotype" w:hAnsi="Palatino Linotype" w:cs="Arial"/>
          <w:b/>
          <w:sz w:val="28"/>
        </w:rPr>
      </w:pPr>
      <w:r w:rsidRPr="00435B66">
        <w:rPr>
          <w:rFonts w:ascii="Palatino Linotype" w:hAnsi="Palatino Linotype" w:cs="Arial"/>
          <w:b/>
          <w:sz w:val="28"/>
        </w:rPr>
        <w:t xml:space="preserve">II. </w:t>
      </w:r>
      <w:r w:rsidRPr="00435B66">
        <w:rPr>
          <w:rFonts w:ascii="Palatino Linotype" w:hAnsi="Palatino Linotype" w:cs="Arial"/>
          <w:b/>
          <w:sz w:val="28"/>
        </w:rPr>
        <w:tab/>
        <w:t>C O N S I D E R A N D O:</w:t>
      </w:r>
    </w:p>
    <w:p w:rsidR="00F70825" w:rsidRPr="00435B66" w:rsidRDefault="00F70825" w:rsidP="00F70825">
      <w:pPr>
        <w:spacing w:before="100" w:beforeAutospacing="1" w:after="100" w:afterAutospacing="1" w:line="360" w:lineRule="auto"/>
        <w:jc w:val="both"/>
        <w:rPr>
          <w:rFonts w:ascii="Palatino Linotype" w:hAnsi="Palatino Linotype" w:cs="Arial"/>
        </w:rPr>
      </w:pPr>
      <w:r w:rsidRPr="00435B66">
        <w:rPr>
          <w:rFonts w:ascii="Palatino Linotype" w:hAnsi="Palatino Linotype" w:cs="Arial"/>
          <w:b/>
        </w:rPr>
        <w:t>PRIMERO. Competencia.</w:t>
      </w:r>
      <w:r w:rsidRPr="00435B66">
        <w:rPr>
          <w:rFonts w:ascii="Palatino Linotype" w:hAnsi="Palatino Linotype" w:cs="Arial"/>
        </w:rPr>
        <w:t xml:space="preserve"> Este Órgano Garante, el Instituto de Transparencia, Acceso a la Información Pública y Protección de Datos Personales del Estado de México y Municipios, es competente para conocer y resolver el presente recurso de revisión interpuesto por el recurrente, conforme a lo establecido en los artículos 6, apartado A de la Constitución Política de los Estados Unidos Mexicanos; 5, párrafos vigésimo, vigésimo primero, y vigésimo segundo, fracciones IV, V, VI, VII, VIII y IX, de la Constitución Política del Estado Libre y Soberano de México; 1, 2, fracción II; 13,  29, 36, fracciones I y II; 176, 178, 179, 181 párrafo tercero y 185 de la Ley </w:t>
      </w:r>
      <w:r w:rsidRPr="00435B66">
        <w:rPr>
          <w:rFonts w:ascii="Palatino Linotype" w:hAnsi="Palatino Linotype" w:cs="Arial"/>
        </w:rPr>
        <w:lastRenderedPageBreak/>
        <w:t>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9D5CF7" w:rsidRPr="006A52EE" w:rsidRDefault="00F70825" w:rsidP="009D5CF7">
      <w:pPr>
        <w:spacing w:before="100" w:beforeAutospacing="1" w:after="100" w:afterAutospacing="1" w:line="360" w:lineRule="auto"/>
        <w:jc w:val="both"/>
        <w:rPr>
          <w:rFonts w:ascii="Palatino Linotype" w:hAnsi="Palatino Linotype" w:cs="Arial"/>
        </w:rPr>
      </w:pPr>
      <w:r w:rsidRPr="00435B66">
        <w:rPr>
          <w:rFonts w:ascii="Palatino Linotype" w:hAnsi="Palatino Linotype" w:cs="Arial"/>
          <w:b/>
        </w:rPr>
        <w:t xml:space="preserve">SEGUNDO. Oportunidad y </w:t>
      </w:r>
      <w:proofErr w:type="spellStart"/>
      <w:r w:rsidRPr="00435B66">
        <w:rPr>
          <w:rFonts w:ascii="Palatino Linotype" w:hAnsi="Palatino Linotype" w:cs="Arial"/>
          <w:b/>
        </w:rPr>
        <w:t>Pocedibilidad</w:t>
      </w:r>
      <w:proofErr w:type="spellEnd"/>
      <w:r w:rsidRPr="00435B66">
        <w:rPr>
          <w:rFonts w:ascii="Palatino Linotype" w:hAnsi="Palatino Linotype" w:cs="Arial"/>
          <w:b/>
        </w:rPr>
        <w:t xml:space="preserve"> del Recurso de Revisión.</w:t>
      </w:r>
      <w:r w:rsidRPr="00435B66">
        <w:rPr>
          <w:rFonts w:ascii="Palatino Linotype" w:hAnsi="Palatino Linotype" w:cs="Arial"/>
        </w:rPr>
        <w:t xml:space="preserve"> De conformidad con los requisitos y elementos de oportunidad y </w:t>
      </w:r>
      <w:proofErr w:type="spellStart"/>
      <w:r w:rsidRPr="00435B66">
        <w:rPr>
          <w:rFonts w:ascii="Palatino Linotype" w:hAnsi="Palatino Linotype" w:cs="Arial"/>
        </w:rPr>
        <w:t>procedibilidad</w:t>
      </w:r>
      <w:proofErr w:type="spellEnd"/>
      <w:r w:rsidRPr="00435B66">
        <w:rPr>
          <w:rFonts w:ascii="Palatino Linotype" w:hAnsi="Palatino Linotype" w:cs="Arial"/>
        </w:rPr>
        <w:t xml:space="preserve"> que deben poseer los recursos de revisión interpuestos, advertidos en los artículos 178 y 180 de la Ley de Transparencia y Acceso a la Información Pública del Estado de México y Municipios; en la sustancia del asunto se tiene que los medios de impugnación fueron interpuestos dentro del plazo de quince días hábiles, previsto en el artículo 178 párrafo primero, del ordenamiento ya mencionado, toda vez que el </w:t>
      </w:r>
      <w:r w:rsidRPr="00435B66">
        <w:rPr>
          <w:rFonts w:ascii="Palatino Linotype" w:hAnsi="Palatino Linotype" w:cs="Arial"/>
          <w:b/>
        </w:rPr>
        <w:t>Sujeto Obligado</w:t>
      </w:r>
      <w:r w:rsidRPr="00435B66">
        <w:rPr>
          <w:rFonts w:ascii="Palatino Linotype" w:hAnsi="Palatino Linotype" w:cs="Arial"/>
        </w:rPr>
        <w:t xml:space="preserve"> expresó sus respuestas a las solicitudes planteadas por la parte solicitante, en fecha </w:t>
      </w:r>
      <w:r w:rsidR="009D5CF7">
        <w:rPr>
          <w:rFonts w:ascii="Palatino Linotype" w:hAnsi="Palatino Linotype" w:cs="Arial"/>
        </w:rPr>
        <w:t>veintisiete</w:t>
      </w:r>
      <w:r>
        <w:rPr>
          <w:rFonts w:ascii="Palatino Linotype" w:hAnsi="Palatino Linotype" w:cs="Arial"/>
        </w:rPr>
        <w:t xml:space="preserve"> de agosto</w:t>
      </w:r>
      <w:r w:rsidRPr="00435B66">
        <w:rPr>
          <w:rFonts w:ascii="Palatino Linotype" w:hAnsi="Palatino Linotype" w:cs="Arial"/>
        </w:rPr>
        <w:t xml:space="preserve"> de dos mil dieciocho </w:t>
      </w:r>
      <w:r w:rsidR="009D5CF7" w:rsidRPr="00F21F1B">
        <w:rPr>
          <w:rFonts w:ascii="Palatino Linotype" w:hAnsi="Palatino Linotype" w:cs="Arial"/>
        </w:rPr>
        <w:t xml:space="preserve">y la parte recurrente presentó recurso de revisión </w:t>
      </w:r>
      <w:r w:rsidR="009D5CF7" w:rsidRPr="00550F71">
        <w:rPr>
          <w:rFonts w:ascii="Palatino Linotype" w:hAnsi="Palatino Linotype" w:cs="Arial"/>
        </w:rPr>
        <w:t>ese mismo día; circunstancia</w:t>
      </w:r>
      <w:r w:rsidR="009D5CF7" w:rsidRPr="006A52EE">
        <w:rPr>
          <w:rFonts w:ascii="Palatino Linotype" w:hAnsi="Palatino Linotype" w:cs="Arial"/>
        </w:rPr>
        <w:t xml:space="preserve"> que no es determinante para declararlo extemporáneo, toda vez que el tiempo concedido es para delimitar el término en que puede impugnarse la respuesta, lo cual no impide que se presente antes de iniciado el plazo previsto.</w:t>
      </w:r>
    </w:p>
    <w:p w:rsidR="009D5CF7" w:rsidRPr="006A52EE" w:rsidRDefault="009D5CF7" w:rsidP="009D5CF7">
      <w:pPr>
        <w:spacing w:before="100" w:beforeAutospacing="1" w:after="100" w:afterAutospacing="1" w:line="360" w:lineRule="auto"/>
        <w:jc w:val="both"/>
        <w:rPr>
          <w:rFonts w:ascii="Palatino Linotype" w:hAnsi="Palatino Linotype" w:cs="Arial"/>
        </w:rPr>
      </w:pPr>
      <w:r w:rsidRPr="006A52EE">
        <w:rPr>
          <w:rFonts w:ascii="Palatino Linotype" w:hAnsi="Palatino Linotype" w:cs="Arial"/>
        </w:rPr>
        <w:t>Criterio de este Órgano Garante que se robustece con la jurisprudencia número 1a</w:t>
      </w:r>
      <w:proofErr w:type="gramStart"/>
      <w:r w:rsidRPr="006A52EE">
        <w:rPr>
          <w:rFonts w:ascii="Palatino Linotype" w:hAnsi="Palatino Linotype" w:cs="Arial"/>
        </w:rPr>
        <w:t>./</w:t>
      </w:r>
      <w:proofErr w:type="gramEnd"/>
      <w:r w:rsidRPr="006A52EE">
        <w:rPr>
          <w:rFonts w:ascii="Palatino Linotype" w:hAnsi="Palatino Linotype" w:cs="Arial"/>
        </w:rPr>
        <w:t>J. 41/2015 (10a.), Décima época, sustentada por la Primera Sala de la Suprema Corte de Justicia de la Nación, visible en la página 569, libro 19, tomo I, de la Gaceta del Semanario Judicial de la Federación, del mes de junio de 2015, cuyo rubro y texto esgrimen:</w:t>
      </w:r>
    </w:p>
    <w:p w:rsidR="009D5CF7" w:rsidRPr="006A52EE" w:rsidRDefault="009D5CF7" w:rsidP="009D5CF7">
      <w:pPr>
        <w:spacing w:before="100" w:beforeAutospacing="1" w:after="100" w:afterAutospacing="1"/>
        <w:ind w:left="851" w:right="851"/>
        <w:jc w:val="both"/>
        <w:rPr>
          <w:rFonts w:ascii="Palatino Linotype" w:hAnsi="Palatino Linotype" w:cs="Arial"/>
          <w:i/>
          <w:sz w:val="22"/>
        </w:rPr>
      </w:pPr>
      <w:r w:rsidRPr="006A52EE">
        <w:rPr>
          <w:rFonts w:ascii="Palatino Linotype" w:hAnsi="Palatino Linotype" w:cs="Arial"/>
          <w:i/>
          <w:sz w:val="22"/>
        </w:rPr>
        <w:lastRenderedPageBreak/>
        <w:t>"RECURSO DE RECLAMACIÓN. SU INTERPOSICIÓN NO ES EXTEMPORÁNEA SI SE REALIZA ANTES DE QUE INICIE EL PLAZO PARA HACERLO.</w:t>
      </w:r>
    </w:p>
    <w:p w:rsidR="009D5CF7" w:rsidRPr="006A52EE" w:rsidRDefault="009D5CF7" w:rsidP="009D5CF7">
      <w:pPr>
        <w:spacing w:before="100" w:beforeAutospacing="1" w:after="100" w:afterAutospacing="1"/>
        <w:ind w:left="851" w:right="851"/>
        <w:jc w:val="both"/>
        <w:rPr>
          <w:rFonts w:ascii="Palatino Linotype" w:hAnsi="Palatino Linotype" w:cs="Arial"/>
          <w:i/>
          <w:sz w:val="22"/>
        </w:rPr>
      </w:pPr>
      <w:r w:rsidRPr="006A52EE">
        <w:rPr>
          <w:rFonts w:ascii="Palatino Linotype" w:hAnsi="Palatino Linotype" w:cs="Arial"/>
          <w:i/>
          <w:sz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rsidR="009D5CF7" w:rsidRPr="006A52EE" w:rsidRDefault="009D5CF7" w:rsidP="009D5CF7">
      <w:pPr>
        <w:spacing w:before="100" w:beforeAutospacing="1" w:after="100" w:afterAutospacing="1"/>
        <w:ind w:left="851" w:right="851"/>
        <w:jc w:val="both"/>
        <w:rPr>
          <w:rFonts w:ascii="Palatino Linotype" w:hAnsi="Palatino Linotype" w:cs="Arial"/>
          <w:i/>
          <w:sz w:val="22"/>
        </w:rPr>
      </w:pPr>
      <w:r w:rsidRPr="006A52EE">
        <w:rPr>
          <w:rFonts w:ascii="Palatino Linotype" w:hAnsi="Palatino Linotype" w:cs="Arial"/>
          <w:i/>
          <w:sz w:val="22"/>
        </w:rPr>
        <w:t>De ahí que si dicho recurso se interpone antes de que inicie el plazo para hacerlo, su presentación no es extemporánea. (…)”</w:t>
      </w:r>
    </w:p>
    <w:p w:rsidR="00F70825" w:rsidRPr="00435B66" w:rsidRDefault="00F70825" w:rsidP="00F70825">
      <w:pPr>
        <w:spacing w:before="100" w:beforeAutospacing="1" w:after="100" w:afterAutospacing="1" w:line="360" w:lineRule="auto"/>
        <w:jc w:val="both"/>
        <w:rPr>
          <w:rFonts w:ascii="Palatino Linotype" w:hAnsi="Palatino Linotype" w:cs="Arial"/>
          <w:lang w:val="es-MX"/>
        </w:rPr>
      </w:pPr>
      <w:r w:rsidRPr="00435B66">
        <w:rPr>
          <w:rFonts w:ascii="Palatino Linotype" w:hAnsi="Palatino Linotype" w:cs="Arial"/>
          <w:lang w:val="es-MX"/>
        </w:rPr>
        <w:t xml:space="preserve">Por cuanto hace referencia a la </w:t>
      </w:r>
      <w:proofErr w:type="spellStart"/>
      <w:r w:rsidRPr="00435B66">
        <w:rPr>
          <w:rFonts w:ascii="Palatino Linotype" w:hAnsi="Palatino Linotype" w:cs="Arial"/>
          <w:lang w:val="es-MX"/>
        </w:rPr>
        <w:t>procedibilidad</w:t>
      </w:r>
      <w:proofErr w:type="spellEnd"/>
      <w:r w:rsidRPr="00435B66">
        <w:rPr>
          <w:rFonts w:ascii="Palatino Linotype" w:hAnsi="Palatino Linotype" w:cs="Arial"/>
          <w:lang w:val="es-MX"/>
        </w:rPr>
        <w:t xml:space="preserve"> de los recursos de revisión, hecho el análisis del formato de interposición de los recursos, viendo los requisitos de fondo y forma, se colige la acreditación plena de todos y cada uno de los elementos exigidos por el artículo 180 de la Ley de Transparencia y Acceso a la Información Pública del Estado de México y Municipios, en atención a que fue presentado mediante el formato visible en </w:t>
      </w:r>
      <w:r w:rsidRPr="00435B66">
        <w:rPr>
          <w:rFonts w:ascii="Palatino Linotype" w:hAnsi="Palatino Linotype" w:cs="Arial"/>
          <w:bCs/>
          <w:lang w:val="es-MX"/>
        </w:rPr>
        <w:t>el</w:t>
      </w:r>
      <w:r w:rsidRPr="00435B66">
        <w:rPr>
          <w:rFonts w:ascii="Palatino Linotype" w:hAnsi="Palatino Linotype" w:cs="Arial"/>
          <w:lang w:val="es-MX"/>
        </w:rPr>
        <w:t> </w:t>
      </w:r>
      <w:r w:rsidRPr="00435B66">
        <w:rPr>
          <w:rFonts w:ascii="Palatino Linotype" w:hAnsi="Palatino Linotype" w:cs="Arial"/>
          <w:b/>
          <w:bCs/>
          <w:lang w:val="es-MX"/>
        </w:rPr>
        <w:t>SAIMEX</w:t>
      </w:r>
      <w:r w:rsidRPr="00435B66">
        <w:rPr>
          <w:rFonts w:ascii="Palatino Linotype" w:hAnsi="Palatino Linotype" w:cs="Arial"/>
          <w:lang w:val="es-MX"/>
        </w:rPr>
        <w:t>.</w:t>
      </w:r>
    </w:p>
    <w:p w:rsidR="00F70825" w:rsidRPr="000B3870" w:rsidRDefault="00F70825" w:rsidP="00F70825">
      <w:pPr>
        <w:spacing w:before="240" w:after="240" w:line="360" w:lineRule="auto"/>
        <w:jc w:val="both"/>
        <w:rPr>
          <w:rFonts w:ascii="Palatino Linotype" w:hAnsi="Palatino Linotype" w:cs="Arial"/>
        </w:rPr>
      </w:pPr>
      <w:r w:rsidRPr="000B3870">
        <w:rPr>
          <w:rFonts w:ascii="Palatino Linotype" w:hAnsi="Palatino Linotype" w:cs="Segoe UI"/>
        </w:rPr>
        <w:t xml:space="preserve">Cabe señalar que la parte </w:t>
      </w:r>
      <w:r w:rsidRPr="000B3870">
        <w:rPr>
          <w:rFonts w:ascii="Palatino Linotype" w:hAnsi="Palatino Linotype" w:cs="Segoe UI"/>
          <w:b/>
        </w:rPr>
        <w:t>recurrente</w:t>
      </w:r>
      <w:r w:rsidRPr="000B3870">
        <w:rPr>
          <w:rFonts w:ascii="Palatino Linotype" w:hAnsi="Palatino Linotype" w:cs="Segoe UI"/>
        </w:rPr>
        <w:t xml:space="preserve"> se identifica como </w:t>
      </w:r>
      <w:r w:rsidRPr="000B3870">
        <w:rPr>
          <w:rFonts w:ascii="Palatino Linotype" w:eastAsiaTheme="minorEastAsia" w:hAnsi="Palatino Linotype" w:cs="Arial"/>
          <w:b/>
        </w:rPr>
        <w:t>“</w:t>
      </w:r>
      <w:r w:rsidRPr="00F70825">
        <w:rPr>
          <w:rFonts w:ascii="Palatino Linotype" w:eastAsiaTheme="minorEastAsia" w:hAnsi="Palatino Linotype" w:cs="Arial"/>
          <w:b/>
        </w:rPr>
        <w:t>LUZ ALANIS A</w:t>
      </w:r>
      <w:r w:rsidRPr="000B3870">
        <w:rPr>
          <w:rFonts w:ascii="Palatino Linotype" w:hAnsi="Palatino Linotype" w:cs="Arial"/>
          <w:b/>
        </w:rPr>
        <w:t>”</w:t>
      </w:r>
      <w:r w:rsidRPr="000B3870">
        <w:rPr>
          <w:rFonts w:ascii="Palatino Linotype" w:eastAsiaTheme="minorEastAsia" w:hAnsi="Palatino Linotype" w:cs="Arial"/>
          <w:b/>
        </w:rPr>
        <w:t xml:space="preserve">. </w:t>
      </w:r>
      <w:r w:rsidRPr="000B3870">
        <w:rPr>
          <w:rFonts w:ascii="Palatino Linotype" w:hAnsi="Palatino Linotype"/>
        </w:rPr>
        <w:t xml:space="preserve">No obstante lo anterior, proporcionar el nombre incompleto no es motivo para desechar las </w:t>
      </w:r>
      <w:r w:rsidRPr="000B3870">
        <w:rPr>
          <w:rFonts w:ascii="Palatino Linotype" w:hAnsi="Palatino Linotype" w:cs="Arial"/>
        </w:rPr>
        <w:t>solicitudes de acceso a la información pública conforme a lo previsto en el artículo 155, penúltimo párrafo de la Ley de Transparencia y Acceso a la Información Pública del Estado de México y Municipios que señala lo siguiente:</w:t>
      </w:r>
    </w:p>
    <w:p w:rsidR="00F70825" w:rsidRPr="000B3870" w:rsidRDefault="00F70825" w:rsidP="00F70825">
      <w:pPr>
        <w:spacing w:before="240" w:after="240"/>
        <w:ind w:left="851" w:right="900"/>
        <w:jc w:val="both"/>
        <w:rPr>
          <w:rFonts w:ascii="Palatino Linotype" w:hAnsi="Palatino Linotype"/>
          <w:i/>
          <w:sz w:val="22"/>
          <w:szCs w:val="22"/>
        </w:rPr>
      </w:pPr>
      <w:r w:rsidRPr="000B3870">
        <w:rPr>
          <w:rFonts w:ascii="Palatino Linotype" w:hAnsi="Palatino Linotype" w:cs="Arial"/>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F70825" w:rsidRPr="000B3870" w:rsidRDefault="00F70825" w:rsidP="00F70825">
      <w:pPr>
        <w:spacing w:before="240" w:after="240" w:line="360" w:lineRule="auto"/>
        <w:jc w:val="both"/>
        <w:rPr>
          <w:rFonts w:ascii="Palatino Linotype" w:hAnsi="Palatino Linotype"/>
        </w:rPr>
      </w:pPr>
      <w:r w:rsidRPr="000B3870">
        <w:rPr>
          <w:rFonts w:ascii="Palatino Linotype" w:hAnsi="Palatino Linotype"/>
        </w:rPr>
        <w:lastRenderedPageBreak/>
        <w:t xml:space="preserve">Robusteciendo lo anterior se encuentra lo dispuesto en los artículos 6, Apartado A, fracciones III y IV de la Constitución Política de los Estados Unidos Mexicanos y 5 párrafos </w:t>
      </w:r>
      <w:r w:rsidRPr="000B3870">
        <w:rPr>
          <w:rFonts w:ascii="Palatino Linotype" w:hAnsi="Palatino Linotype" w:cs="Arial"/>
        </w:rPr>
        <w:t>vigésimo, vigésimo primero</w:t>
      </w:r>
      <w:r w:rsidRPr="000B3870">
        <w:rPr>
          <w:rFonts w:ascii="Palatino Linotype" w:eastAsia="Times New Roman" w:hAnsi="Palatino Linotype" w:cs="Arial"/>
          <w:szCs w:val="22"/>
          <w:lang w:val="es-MX" w:eastAsia="en-US"/>
        </w:rPr>
        <w:t xml:space="preserve"> y vigésimo segundo</w:t>
      </w:r>
      <w:r w:rsidRPr="000B3870">
        <w:rPr>
          <w:rFonts w:ascii="Palatino Linotype" w:hAnsi="Palatino Linotype"/>
        </w:rPr>
        <w:t>, de la Constitución Política del Estado Libre y Soberano de México, se establece lo siguiente:</w:t>
      </w:r>
    </w:p>
    <w:p w:rsidR="00F70825" w:rsidRPr="000B3870" w:rsidRDefault="00F70825" w:rsidP="00F70825">
      <w:pPr>
        <w:spacing w:before="240" w:after="240"/>
        <w:ind w:left="851" w:right="900"/>
        <w:jc w:val="both"/>
        <w:rPr>
          <w:rFonts w:ascii="Palatino Linotype" w:hAnsi="Palatino Linotype"/>
          <w:b/>
          <w:i/>
          <w:sz w:val="22"/>
          <w:szCs w:val="22"/>
        </w:rPr>
      </w:pPr>
      <w:r w:rsidRPr="000B3870">
        <w:rPr>
          <w:rFonts w:ascii="Palatino Linotype" w:hAnsi="Palatino Linotype"/>
          <w:b/>
          <w:i/>
          <w:sz w:val="22"/>
          <w:szCs w:val="22"/>
        </w:rPr>
        <w:t>Constitución Política de los Estados Unidos Mexicanos</w:t>
      </w:r>
    </w:p>
    <w:p w:rsidR="00F70825" w:rsidRPr="000B3870" w:rsidRDefault="00F70825" w:rsidP="00F70825">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w:t>
      </w:r>
      <w:r w:rsidRPr="000B3870">
        <w:rPr>
          <w:rFonts w:ascii="Palatino Linotype" w:hAnsi="Palatino Linotype"/>
          <w:b/>
          <w:i/>
          <w:sz w:val="22"/>
          <w:szCs w:val="22"/>
        </w:rPr>
        <w:t>Artículo 6</w:t>
      </w:r>
      <w:r w:rsidRPr="000B3870">
        <w:rPr>
          <w:rFonts w:ascii="Palatino Linotype" w:hAnsi="Palatino Linotype"/>
          <w:i/>
          <w:sz w:val="22"/>
          <w:szCs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F70825" w:rsidRPr="000B3870" w:rsidRDefault="00F70825" w:rsidP="00F70825">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w:t>
      </w:r>
    </w:p>
    <w:p w:rsidR="00F70825" w:rsidRPr="000B3870" w:rsidRDefault="00F70825" w:rsidP="00F70825">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 xml:space="preserve">Para efectos de lo dispuesto en el presente artículo se observará lo siguiente: </w:t>
      </w:r>
    </w:p>
    <w:p w:rsidR="00F70825" w:rsidRPr="000B3870" w:rsidRDefault="00F70825" w:rsidP="00F70825">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A. Para el ejercicio del derecho de acceso a la información, la Federación, los Estados y el Distrito Federal, en el ámbito de sus respectivas competencias, se regirán por los siguientes principios y bases:</w:t>
      </w:r>
    </w:p>
    <w:p w:rsidR="00F70825" w:rsidRPr="000B3870" w:rsidRDefault="00F70825" w:rsidP="00F70825">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w:t>
      </w:r>
    </w:p>
    <w:p w:rsidR="00F70825" w:rsidRPr="000B3870" w:rsidRDefault="00F70825" w:rsidP="00F70825">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 xml:space="preserve">III. Toda persona, sin necesidad de acreditar interés alguno o justificar su utilización, tendrá acceso gratuito a la información pública, a sus datos personales o a la rectificación de éstos. </w:t>
      </w:r>
    </w:p>
    <w:p w:rsidR="00F70825" w:rsidRPr="000B3870" w:rsidRDefault="00F70825" w:rsidP="00F70825">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 xml:space="preserve">IV. Se establecerán mecanismos de acceso a la información y procedimientos de revisión expeditos que se sustanciarán ante los organismos autónomos especializados e imparciales que establece esta Constitución.” </w:t>
      </w:r>
    </w:p>
    <w:p w:rsidR="00F70825" w:rsidRPr="000B3870" w:rsidRDefault="00F70825" w:rsidP="00F70825">
      <w:pPr>
        <w:spacing w:before="240" w:after="240"/>
        <w:ind w:left="851" w:right="900"/>
        <w:jc w:val="both"/>
        <w:rPr>
          <w:rFonts w:ascii="Palatino Linotype" w:hAnsi="Palatino Linotype"/>
          <w:i/>
          <w:sz w:val="22"/>
          <w:szCs w:val="22"/>
        </w:rPr>
      </w:pPr>
    </w:p>
    <w:p w:rsidR="00F70825" w:rsidRPr="000B3870" w:rsidRDefault="00F70825" w:rsidP="00F70825">
      <w:pPr>
        <w:spacing w:before="240" w:after="240"/>
        <w:ind w:left="851" w:right="900"/>
        <w:jc w:val="both"/>
        <w:rPr>
          <w:rFonts w:ascii="Palatino Linotype" w:hAnsi="Palatino Linotype"/>
          <w:b/>
          <w:i/>
          <w:sz w:val="22"/>
          <w:szCs w:val="22"/>
        </w:rPr>
      </w:pPr>
      <w:r w:rsidRPr="000B3870">
        <w:rPr>
          <w:rFonts w:ascii="Palatino Linotype" w:hAnsi="Palatino Linotype"/>
          <w:b/>
          <w:i/>
          <w:sz w:val="22"/>
          <w:szCs w:val="22"/>
        </w:rPr>
        <w:t>Constitución Política del Estado Libre y Soberano de México</w:t>
      </w:r>
    </w:p>
    <w:p w:rsidR="00F70825" w:rsidRPr="000B3870" w:rsidRDefault="00F70825" w:rsidP="00F70825">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w:t>
      </w:r>
      <w:r w:rsidRPr="000B3870">
        <w:rPr>
          <w:rFonts w:ascii="Palatino Linotype" w:hAnsi="Palatino Linotype"/>
          <w:b/>
          <w:i/>
          <w:sz w:val="22"/>
          <w:szCs w:val="22"/>
        </w:rPr>
        <w:t>Artículo 5</w:t>
      </w:r>
      <w:r w:rsidRPr="000B3870">
        <w:rPr>
          <w:rFonts w:ascii="Palatino Linotype" w:hAnsi="Palatino Linotype"/>
          <w:i/>
          <w:sz w:val="22"/>
          <w:szCs w:val="22"/>
        </w:rPr>
        <w:t xml:space="preserve">.- En el Estado de México todas las personas gozarán de los derechos humanos reconocidos en la Constitución Política de los Estados Unidos Mexicanos, en los tratados internacionales en los que el Estado mexicano sea </w:t>
      </w:r>
      <w:r w:rsidRPr="000B3870">
        <w:rPr>
          <w:rFonts w:ascii="Palatino Linotype" w:hAnsi="Palatino Linotype"/>
          <w:i/>
          <w:sz w:val="22"/>
          <w:szCs w:val="22"/>
        </w:rPr>
        <w:lastRenderedPageBreak/>
        <w:t>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F70825" w:rsidRPr="000B3870" w:rsidRDefault="00F70825" w:rsidP="00F70825">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w:t>
      </w:r>
    </w:p>
    <w:p w:rsidR="00F70825" w:rsidRPr="000B3870" w:rsidRDefault="00F70825" w:rsidP="00F70825">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Toda persona en el Estado de México, tiene derecho al libre acceso a la información plural y oportuna, así como a buscar recibir y difundir información e ideas de toda índole por cualquier medio de expresión.</w:t>
      </w:r>
    </w:p>
    <w:p w:rsidR="00F70825" w:rsidRPr="000B3870" w:rsidRDefault="00F70825" w:rsidP="00F70825">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 xml:space="preserve"> (…)</w:t>
      </w:r>
    </w:p>
    <w:p w:rsidR="00F70825" w:rsidRPr="000B3870" w:rsidRDefault="00F70825" w:rsidP="00F70825">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rsidR="00F70825" w:rsidRPr="000B3870" w:rsidRDefault="00F70825" w:rsidP="00F70825">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F70825" w:rsidRPr="000B3870" w:rsidRDefault="00F70825" w:rsidP="00F70825">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F70825" w:rsidRPr="000B3870" w:rsidRDefault="00F70825" w:rsidP="00F70825">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F70825" w:rsidRPr="000B3870" w:rsidRDefault="00F70825" w:rsidP="00F70825">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w:t>
      </w:r>
    </w:p>
    <w:p w:rsidR="00F70825" w:rsidRPr="000B3870" w:rsidRDefault="00F70825" w:rsidP="00F70825">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F70825" w:rsidRPr="000B3870" w:rsidRDefault="00F70825" w:rsidP="00F70825">
      <w:pPr>
        <w:spacing w:before="240" w:after="240" w:line="360" w:lineRule="auto"/>
        <w:jc w:val="both"/>
        <w:rPr>
          <w:rFonts w:ascii="Palatino Linotype" w:hAnsi="Palatino Linotype"/>
        </w:rPr>
      </w:pPr>
      <w:r w:rsidRPr="000B3870">
        <w:rPr>
          <w:rFonts w:ascii="Palatino Linotype" w:hAnsi="Palatino Linotype"/>
        </w:rPr>
        <w:lastRenderedPageBreak/>
        <w:t>Por otra parte, del contenido del artículo 1 de la Constitución Política de los Estados Unidos Mexicanos, se destaca lo siguiente:</w:t>
      </w:r>
    </w:p>
    <w:p w:rsidR="00F70825" w:rsidRPr="000B3870" w:rsidRDefault="00F70825" w:rsidP="00F70825">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w:t>
      </w:r>
      <w:r w:rsidRPr="000B3870">
        <w:rPr>
          <w:rFonts w:ascii="Palatino Linotype" w:hAnsi="Palatino Linotype"/>
          <w:b/>
          <w:i/>
          <w:sz w:val="22"/>
          <w:szCs w:val="22"/>
        </w:rPr>
        <w:t>Artículo 1o</w:t>
      </w:r>
      <w:r w:rsidRPr="000B3870">
        <w:rPr>
          <w:rFonts w:ascii="Palatino Linotype" w:hAnsi="Palatino Linotype"/>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F70825" w:rsidRPr="000B3870" w:rsidRDefault="00F70825" w:rsidP="00F70825">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Las normas relativas a los derechos humanos se interpretarán de conformidad con esta Constitución y con los tratados internacionales de la materia favoreciendo en todo tiempo a las personas la protección más amplia.</w:t>
      </w:r>
    </w:p>
    <w:p w:rsidR="00F70825" w:rsidRPr="000B3870" w:rsidRDefault="00F70825" w:rsidP="00F70825">
      <w:pPr>
        <w:spacing w:before="240" w:after="240"/>
        <w:ind w:left="851" w:right="900"/>
        <w:jc w:val="both"/>
        <w:rPr>
          <w:rFonts w:ascii="Palatino Linotype" w:hAnsi="Palatino Linotype"/>
          <w:i/>
          <w:sz w:val="22"/>
          <w:szCs w:val="22"/>
        </w:rPr>
      </w:pPr>
      <w:r w:rsidRPr="000B3870">
        <w:rPr>
          <w:rFonts w:ascii="Palatino Linotype" w:hAnsi="Palatino Linotype"/>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F70825" w:rsidRPr="000B3870" w:rsidRDefault="00F70825" w:rsidP="00F70825">
      <w:pPr>
        <w:spacing w:before="240" w:after="240" w:line="360" w:lineRule="auto"/>
        <w:jc w:val="both"/>
        <w:rPr>
          <w:rFonts w:ascii="Palatino Linotype" w:hAnsi="Palatino Linotype"/>
        </w:rPr>
      </w:pPr>
      <w:r w:rsidRPr="000B3870">
        <w:rPr>
          <w:rFonts w:ascii="Palatino Linotype" w:hAnsi="Palatino Linotype"/>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F70825" w:rsidRPr="00421D12" w:rsidRDefault="00F70825" w:rsidP="00421D12">
      <w:pPr>
        <w:spacing w:before="240" w:after="240" w:line="360" w:lineRule="auto"/>
        <w:jc w:val="both"/>
        <w:rPr>
          <w:rFonts w:ascii="Palatino Linotype" w:hAnsi="Palatino Linotype" w:cs="Arial"/>
        </w:rPr>
      </w:pPr>
      <w:r w:rsidRPr="000B3870">
        <w:rPr>
          <w:rFonts w:ascii="Palatino Linotype" w:hAnsi="Palatino Linotype" w:cs="Arial"/>
        </w:rPr>
        <w:t xml:space="preserve">En conclusión, se cubrieron los requisitos de procedencia y </w:t>
      </w:r>
      <w:proofErr w:type="spellStart"/>
      <w:r w:rsidRPr="000B3870">
        <w:rPr>
          <w:rFonts w:ascii="Palatino Linotype" w:hAnsi="Palatino Linotype" w:cs="Arial"/>
        </w:rPr>
        <w:t>procedibilidad</w:t>
      </w:r>
      <w:proofErr w:type="spellEnd"/>
      <w:r w:rsidRPr="000B3870">
        <w:rPr>
          <w:rFonts w:ascii="Palatino Linotype" w:hAnsi="Palatino Linotype" w:cs="Arial"/>
        </w:rPr>
        <w:t xml:space="preserve"> y conforme a las constancias que obran en el expediente.</w:t>
      </w:r>
    </w:p>
    <w:p w:rsidR="00F70825" w:rsidRPr="00435B66" w:rsidRDefault="00F70825" w:rsidP="00F70825">
      <w:pPr>
        <w:spacing w:before="100" w:beforeAutospacing="1" w:after="100" w:afterAutospacing="1" w:line="360" w:lineRule="auto"/>
        <w:jc w:val="both"/>
        <w:rPr>
          <w:rFonts w:ascii="Palatino Linotype" w:hAnsi="Palatino Linotype" w:cs="Arial"/>
          <w:lang w:val="es-MX"/>
        </w:rPr>
      </w:pPr>
      <w:r w:rsidRPr="00435B66">
        <w:rPr>
          <w:rFonts w:ascii="Palatino Linotype" w:hAnsi="Palatino Linotype" w:cs="Arial"/>
          <w:lang w:val="es-MX"/>
        </w:rPr>
        <w:lastRenderedPageBreak/>
        <w:t>Por tanto, se advierte que resulta procedente la interposición de los recursos, según lo aportado por el recurrente en sus motivos de inconformidad, de acu</w:t>
      </w:r>
      <w:r w:rsidR="00E31CCA">
        <w:rPr>
          <w:rFonts w:ascii="Palatino Linotype" w:hAnsi="Palatino Linotype" w:cs="Arial"/>
          <w:lang w:val="es-MX"/>
        </w:rPr>
        <w:t>erdo al artículo 179, fracción</w:t>
      </w:r>
      <w:r w:rsidRPr="00435B66">
        <w:rPr>
          <w:rFonts w:ascii="Palatino Linotype" w:hAnsi="Palatino Linotype" w:cs="Arial"/>
          <w:lang w:val="es-MX"/>
        </w:rPr>
        <w:t xml:space="preserve"> </w:t>
      </w:r>
      <w:r w:rsidR="00E31CCA">
        <w:rPr>
          <w:rFonts w:ascii="Palatino Linotype" w:hAnsi="Palatino Linotype" w:cs="Arial"/>
          <w:lang w:val="es-MX"/>
        </w:rPr>
        <w:t>I</w:t>
      </w:r>
      <w:r w:rsidRPr="00435B66">
        <w:rPr>
          <w:rFonts w:ascii="Palatino Linotype" w:hAnsi="Palatino Linotype" w:cs="Arial"/>
          <w:lang w:val="es-MX"/>
        </w:rPr>
        <w:t>V del ordenamiento legal citado, que a la letra dice: </w:t>
      </w:r>
    </w:p>
    <w:p w:rsidR="00F70825" w:rsidRPr="00435B66" w:rsidRDefault="00F70825" w:rsidP="00F70825">
      <w:pPr>
        <w:spacing w:before="100" w:beforeAutospacing="1" w:after="100" w:afterAutospacing="1"/>
        <w:ind w:left="851" w:right="902"/>
        <w:jc w:val="both"/>
        <w:rPr>
          <w:rFonts w:ascii="Palatino Linotype" w:hAnsi="Palatino Linotype" w:cs="Arial"/>
          <w:b/>
          <w:bCs/>
          <w:i/>
          <w:iCs/>
          <w:sz w:val="22"/>
          <w:lang w:val="es-MX"/>
        </w:rPr>
      </w:pPr>
      <w:r w:rsidRPr="00435B66">
        <w:rPr>
          <w:rFonts w:ascii="Palatino Linotype" w:hAnsi="Palatino Linotype" w:cs="Arial"/>
          <w:bCs/>
          <w:i/>
          <w:iCs/>
          <w:sz w:val="22"/>
          <w:lang w:val="es-MX"/>
        </w:rPr>
        <w:t>“</w:t>
      </w:r>
      <w:r w:rsidRPr="00435B66">
        <w:rPr>
          <w:rFonts w:ascii="Palatino Linotype" w:hAnsi="Palatino Linotype" w:cs="Arial"/>
          <w:i/>
          <w:sz w:val="22"/>
          <w:lang w:val="es-MX"/>
        </w:rPr>
        <w:t>Artículo 179. El recurso de revisión es un medio de protección que la Ley otorga a los particulares, para hacer valer su derecho de acceso a la información pública, y procederá en contra de las siguientes causas:</w:t>
      </w:r>
      <w:r w:rsidRPr="00435B66">
        <w:rPr>
          <w:rFonts w:ascii="Palatino Linotype" w:hAnsi="Palatino Linotype" w:cs="Arial"/>
          <w:b/>
          <w:bCs/>
          <w:i/>
          <w:iCs/>
          <w:sz w:val="22"/>
          <w:lang w:val="es-MX"/>
        </w:rPr>
        <w:t xml:space="preserve"> </w:t>
      </w:r>
    </w:p>
    <w:p w:rsidR="00F70825" w:rsidRPr="00435B66" w:rsidRDefault="00F70825" w:rsidP="00F70825">
      <w:pPr>
        <w:spacing w:before="100" w:beforeAutospacing="1" w:after="100" w:afterAutospacing="1"/>
        <w:ind w:left="851" w:right="902"/>
        <w:jc w:val="both"/>
        <w:rPr>
          <w:rFonts w:ascii="Palatino Linotype" w:hAnsi="Palatino Linotype" w:cs="Arial"/>
          <w:bCs/>
          <w:i/>
          <w:iCs/>
          <w:sz w:val="22"/>
          <w:lang w:val="es-MX"/>
        </w:rPr>
      </w:pPr>
      <w:r w:rsidRPr="00435B66">
        <w:rPr>
          <w:rFonts w:ascii="Palatino Linotype" w:hAnsi="Palatino Linotype" w:cs="Arial"/>
          <w:bCs/>
          <w:i/>
          <w:iCs/>
          <w:sz w:val="22"/>
          <w:lang w:val="es-MX"/>
        </w:rPr>
        <w:t xml:space="preserve"> (…)</w:t>
      </w:r>
    </w:p>
    <w:p w:rsidR="00F70825" w:rsidRPr="00435B66" w:rsidRDefault="00F70825" w:rsidP="00F70825">
      <w:pPr>
        <w:spacing w:before="100" w:beforeAutospacing="1" w:after="100" w:afterAutospacing="1"/>
        <w:ind w:left="851" w:right="902"/>
        <w:jc w:val="both"/>
        <w:rPr>
          <w:rFonts w:ascii="Palatino Linotype" w:hAnsi="Palatino Linotype" w:cs="Arial"/>
          <w:bCs/>
          <w:i/>
          <w:iCs/>
          <w:sz w:val="22"/>
          <w:lang w:val="es-MX"/>
        </w:rPr>
      </w:pPr>
      <w:r>
        <w:rPr>
          <w:rFonts w:ascii="Palatino Linotype" w:hAnsi="Palatino Linotype" w:cs="Arial"/>
          <w:b/>
          <w:bCs/>
          <w:i/>
          <w:iCs/>
          <w:sz w:val="22"/>
          <w:lang w:val="es-MX"/>
        </w:rPr>
        <w:t>I</w:t>
      </w:r>
      <w:r w:rsidRPr="00435B66">
        <w:rPr>
          <w:rFonts w:ascii="Palatino Linotype" w:hAnsi="Palatino Linotype" w:cs="Arial"/>
          <w:b/>
          <w:bCs/>
          <w:i/>
          <w:iCs/>
          <w:sz w:val="22"/>
          <w:lang w:val="es-MX"/>
        </w:rPr>
        <w:t>V.</w:t>
      </w:r>
      <w:r>
        <w:rPr>
          <w:rFonts w:ascii="Palatino Linotype" w:hAnsi="Palatino Linotype" w:cs="Arial"/>
          <w:bCs/>
          <w:i/>
          <w:iCs/>
          <w:sz w:val="22"/>
          <w:lang w:val="es-MX"/>
        </w:rPr>
        <w:t xml:space="preserve"> La declaración de incompetencia por el sujeto obligado;</w:t>
      </w:r>
      <w:r w:rsidRPr="00435B66">
        <w:rPr>
          <w:rFonts w:ascii="Palatino Linotype" w:hAnsi="Palatino Linotype" w:cs="Arial"/>
          <w:bCs/>
          <w:i/>
          <w:iCs/>
          <w:sz w:val="22"/>
          <w:lang w:val="es-MX"/>
        </w:rPr>
        <w:t xml:space="preserve"> (…)”</w:t>
      </w:r>
      <w:r w:rsidRPr="00435B66">
        <w:rPr>
          <w:rFonts w:ascii="Palatino Linotype" w:hAnsi="Palatino Linotype" w:cs="Arial"/>
          <w:bCs/>
          <w:i/>
          <w:iCs/>
          <w:sz w:val="22"/>
          <w:vertAlign w:val="superscript"/>
          <w:lang w:val="es-MX"/>
        </w:rPr>
        <w:footnoteReference w:id="1"/>
      </w:r>
      <w:r w:rsidRPr="00435B66">
        <w:rPr>
          <w:rFonts w:ascii="Palatino Linotype" w:hAnsi="Palatino Linotype" w:cs="Arial"/>
          <w:i/>
          <w:sz w:val="22"/>
          <w:lang w:val="es-MX"/>
        </w:rPr>
        <w:t> </w:t>
      </w:r>
    </w:p>
    <w:p w:rsidR="00E47452" w:rsidRDefault="00F70825" w:rsidP="008F3189">
      <w:pPr>
        <w:spacing w:before="100" w:beforeAutospacing="1" w:after="100" w:afterAutospacing="1" w:line="360" w:lineRule="auto"/>
        <w:jc w:val="both"/>
        <w:rPr>
          <w:rFonts w:ascii="Palatino Linotype" w:hAnsi="Palatino Linotype" w:cs="Arial"/>
        </w:rPr>
      </w:pPr>
      <w:r w:rsidRPr="00435B66">
        <w:rPr>
          <w:rFonts w:ascii="Palatino Linotype" w:hAnsi="Palatino Linotype" w:cs="Arial"/>
        </w:rPr>
        <w:t>Se menciona lo anterior porque la parte recurrente en sus motivos</w:t>
      </w:r>
      <w:r w:rsidR="008F3189">
        <w:rPr>
          <w:rFonts w:ascii="Palatino Linotype" w:hAnsi="Palatino Linotype" w:cs="Arial"/>
        </w:rPr>
        <w:t xml:space="preserve"> de inconformidad argumenta que el Sujeto Obligado, no declaro su incompetencia en el plazo señalado en la Ley de la materia y por lo tanto se debió aprobar por el Comité respectivo.</w:t>
      </w:r>
    </w:p>
    <w:p w:rsidR="00421D12" w:rsidRPr="00421D12" w:rsidRDefault="00421D12" w:rsidP="00421D12">
      <w:pPr>
        <w:spacing w:before="100" w:beforeAutospacing="1" w:after="100" w:afterAutospacing="1" w:line="360" w:lineRule="auto"/>
        <w:jc w:val="both"/>
        <w:rPr>
          <w:rFonts w:ascii="Palatino Linotype" w:hAnsi="Palatino Linotype" w:cs="Arial"/>
          <w:lang w:val="es-MX"/>
        </w:rPr>
      </w:pPr>
      <w:r w:rsidRPr="00421D12">
        <w:rPr>
          <w:rFonts w:ascii="Palatino Linotype" w:hAnsi="Palatino Linotype" w:cs="Arial"/>
          <w:b/>
          <w:lang w:val="es-MX"/>
        </w:rPr>
        <w:t xml:space="preserve">TERCERO. Materia de la Revisión. </w:t>
      </w:r>
      <w:r w:rsidRPr="00421D12">
        <w:rPr>
          <w:rFonts w:ascii="Palatino Linotype" w:hAnsi="Palatino Linotype" w:cs="Arial"/>
          <w:lang w:val="es-MX"/>
        </w:rPr>
        <w:t>De la revisión a las constancias y documentos que obran en los expedientes electrónicos se advierte, que el tema sobre el que este Órgano Garante de Transparencia y Acceso a la Información se pronunciará será:</w:t>
      </w:r>
    </w:p>
    <w:p w:rsidR="00421D12" w:rsidRPr="00421D12" w:rsidRDefault="00421D12" w:rsidP="00E0083C">
      <w:pPr>
        <w:numPr>
          <w:ilvl w:val="0"/>
          <w:numId w:val="2"/>
        </w:numPr>
        <w:spacing w:before="100" w:beforeAutospacing="1" w:after="100" w:afterAutospacing="1" w:line="360" w:lineRule="auto"/>
        <w:jc w:val="both"/>
        <w:rPr>
          <w:rFonts w:ascii="Palatino Linotype" w:hAnsi="Palatino Linotype" w:cs="Arial"/>
        </w:rPr>
      </w:pPr>
      <w:r w:rsidRPr="00421D12">
        <w:rPr>
          <w:rFonts w:ascii="Palatino Linotype" w:hAnsi="Palatino Linotype" w:cs="Arial"/>
          <w:b/>
          <w:lang w:val="es-MX"/>
        </w:rPr>
        <w:t>Determinar si la información entregada por parte del Sujeto Obligado, satisface el requerimiento, así también verificar que posea la información faltante y de ser el caso ordenar la entrega de la misma.</w:t>
      </w:r>
    </w:p>
    <w:p w:rsidR="00421D12" w:rsidRPr="00421D12" w:rsidRDefault="00421D12" w:rsidP="00421D12">
      <w:pPr>
        <w:spacing w:before="100" w:beforeAutospacing="1" w:after="100" w:afterAutospacing="1" w:line="360" w:lineRule="auto"/>
        <w:jc w:val="both"/>
        <w:rPr>
          <w:rFonts w:ascii="Palatino Linotype" w:hAnsi="Palatino Linotype" w:cs="Segoe UI"/>
        </w:rPr>
      </w:pPr>
      <w:r w:rsidRPr="00421D12">
        <w:rPr>
          <w:rFonts w:ascii="Palatino Linotype" w:hAnsi="Palatino Linotype"/>
          <w:b/>
        </w:rPr>
        <w:t>CUARTO. Estudio del asunto</w:t>
      </w:r>
      <w:r w:rsidRPr="00421D12">
        <w:rPr>
          <w:rFonts w:ascii="Palatino Linotype" w:hAnsi="Palatino Linotype"/>
        </w:rPr>
        <w:t xml:space="preserve">. </w:t>
      </w:r>
      <w:r w:rsidRPr="00421D12">
        <w:rPr>
          <w:rFonts w:ascii="Palatino Linotype" w:hAnsi="Palatino Linotype" w:cs="Segoe UI"/>
        </w:rPr>
        <w:t xml:space="preserve">Se hace referencia que la parte recurrente solicitó al </w:t>
      </w:r>
      <w:r w:rsidRPr="00421D12">
        <w:rPr>
          <w:rFonts w:ascii="Palatino Linotype" w:hAnsi="Palatino Linotype" w:cs="Segoe UI"/>
          <w:b/>
        </w:rPr>
        <w:t>Sujeto Obligado</w:t>
      </w:r>
      <w:r w:rsidRPr="00421D12">
        <w:rPr>
          <w:rFonts w:ascii="Palatino Linotype" w:hAnsi="Palatino Linotype" w:cs="Segoe UI"/>
        </w:rPr>
        <w:t>, le hiciera entrega de lo siguiente:</w:t>
      </w:r>
    </w:p>
    <w:p w:rsidR="00421D12" w:rsidRPr="00421D12" w:rsidRDefault="007A2FA2" w:rsidP="00421D12">
      <w:pPr>
        <w:numPr>
          <w:ilvl w:val="0"/>
          <w:numId w:val="3"/>
        </w:numPr>
        <w:spacing w:before="100" w:beforeAutospacing="1" w:after="100" w:afterAutospacing="1" w:line="360" w:lineRule="auto"/>
        <w:jc w:val="both"/>
        <w:rPr>
          <w:rFonts w:ascii="Palatino Linotype" w:hAnsi="Palatino Linotype" w:cs="Segoe UI"/>
        </w:rPr>
      </w:pPr>
      <w:r>
        <w:rPr>
          <w:rFonts w:ascii="Palatino Linotype" w:hAnsi="Palatino Linotype" w:cs="Arial"/>
        </w:rPr>
        <w:lastRenderedPageBreak/>
        <w:t xml:space="preserve">El fundamento legal que faculte a los prestadores de servicio social del Hospital General “Las Américas” y </w:t>
      </w:r>
      <w:r w:rsidRPr="007A2FA2">
        <w:rPr>
          <w:rFonts w:ascii="Palatino Linotype" w:hAnsi="Palatino Linotype" w:cs="Arial"/>
        </w:rPr>
        <w:t>Hospital Regional de Alta Especialidad de Zumpango</w:t>
      </w:r>
      <w:r>
        <w:rPr>
          <w:rFonts w:ascii="Palatino Linotype" w:hAnsi="Palatino Linotype" w:cs="Arial"/>
        </w:rPr>
        <w:t>, para firmar las notas de enfermería y al personal contratado para delegar funciones a los prestadores de servicio social.</w:t>
      </w:r>
    </w:p>
    <w:p w:rsidR="007E1456" w:rsidRDefault="00421D12" w:rsidP="00421D12">
      <w:pPr>
        <w:spacing w:before="100" w:beforeAutospacing="1" w:after="100" w:afterAutospacing="1" w:line="360" w:lineRule="auto"/>
        <w:jc w:val="both"/>
        <w:rPr>
          <w:rFonts w:ascii="Palatino Linotype" w:hAnsi="Palatino Linotype" w:cs="Segoe UI"/>
        </w:rPr>
      </w:pPr>
      <w:r w:rsidRPr="00421D12">
        <w:rPr>
          <w:rFonts w:ascii="Palatino Linotype" w:hAnsi="Palatino Linotype" w:cs="Segoe UI"/>
        </w:rPr>
        <w:t xml:space="preserve">Una vez precisado lo anterior, es relevante mencionar que derivado del análisis realizado a las constancias que integran el presente recurso de revisión se concluye que las razones o motivos de inconformidad vertidos por la recurrente resultan </w:t>
      </w:r>
      <w:r w:rsidR="00E31CCA">
        <w:rPr>
          <w:rFonts w:ascii="Palatino Linotype" w:hAnsi="Palatino Linotype" w:cs="Segoe UI"/>
        </w:rPr>
        <w:t xml:space="preserve">parcialmente </w:t>
      </w:r>
      <w:r w:rsidRPr="00421D12">
        <w:rPr>
          <w:rFonts w:ascii="Palatino Linotype" w:hAnsi="Palatino Linotype" w:cs="Segoe UI"/>
        </w:rPr>
        <w:t>fundados, en atención a lo siguiente:</w:t>
      </w:r>
    </w:p>
    <w:p w:rsidR="007E1456" w:rsidRDefault="00E0083C" w:rsidP="00421D12">
      <w:pPr>
        <w:spacing w:before="100" w:beforeAutospacing="1" w:after="100" w:afterAutospacing="1" w:line="360" w:lineRule="auto"/>
        <w:jc w:val="both"/>
        <w:rPr>
          <w:rFonts w:ascii="Palatino Linotype" w:hAnsi="Palatino Linotype" w:cs="Segoe UI"/>
        </w:rPr>
      </w:pPr>
      <w:r>
        <w:rPr>
          <w:rFonts w:ascii="Palatino Linotype" w:hAnsi="Palatino Linotype" w:cs="Segoe UI"/>
        </w:rPr>
        <w:t>En primer término, es importante precisar la naturaleza de los Hospitales de los cuales la parte recurrente solicitó información</w:t>
      </w:r>
      <w:r w:rsidR="00B415FD">
        <w:rPr>
          <w:rFonts w:ascii="Palatino Linotype" w:hAnsi="Palatino Linotype" w:cs="Segoe UI"/>
        </w:rPr>
        <w:t xml:space="preserve">, es distinta ya que </w:t>
      </w:r>
      <w:r w:rsidR="00AC19B8">
        <w:rPr>
          <w:rFonts w:ascii="Palatino Linotype" w:hAnsi="Palatino Linotype" w:cs="Segoe UI"/>
        </w:rPr>
        <w:t xml:space="preserve">es de destacar </w:t>
      </w:r>
      <w:r w:rsidR="00422502">
        <w:rPr>
          <w:rFonts w:ascii="Palatino Linotype" w:hAnsi="Palatino Linotype" w:cs="Segoe UI"/>
        </w:rPr>
        <w:t>que el Hospital General “Las Américas” pertenece al Instituto de Salud del Estado de México, y está catalogado como un Hospital General, el cual tiene como objetivo brindar servicio médico integral y de calidad a pacientes de diversos padecimientos en su salud y contribuir al bienestar social de la población de la entidad mexiquense y al cumplimiento de los objetivos institucionales, lo anterior se sustenta en el artículo 217B51000-21</w:t>
      </w:r>
      <w:r w:rsidR="00422502" w:rsidRPr="00422502">
        <w:rPr>
          <w:rFonts w:ascii="Palatino Linotype" w:hAnsi="Palatino Linotype" w:cs="Segoe UI"/>
        </w:rPr>
        <w:t>7B56000</w:t>
      </w:r>
      <w:r w:rsidR="00422502">
        <w:rPr>
          <w:rFonts w:ascii="Palatino Linotype" w:hAnsi="Palatino Linotype" w:cs="Segoe UI"/>
        </w:rPr>
        <w:t xml:space="preserve"> del Manual General de Organización del Institut</w:t>
      </w:r>
      <w:r w:rsidR="00FC65E8">
        <w:rPr>
          <w:rFonts w:ascii="Palatino Linotype" w:hAnsi="Palatino Linotype" w:cs="Segoe UI"/>
        </w:rPr>
        <w:t>o de Salud del Estado de México, que se puede visualizar a continuación:</w:t>
      </w:r>
    </w:p>
    <w:p w:rsidR="00FC65E8" w:rsidRDefault="00FC65E8" w:rsidP="00421D12">
      <w:pPr>
        <w:spacing w:before="100" w:beforeAutospacing="1" w:after="100" w:afterAutospacing="1" w:line="360" w:lineRule="auto"/>
        <w:jc w:val="both"/>
        <w:rPr>
          <w:rFonts w:ascii="Palatino Linotype" w:hAnsi="Palatino Linotype" w:cs="Segoe UI"/>
        </w:rPr>
      </w:pPr>
      <w:r>
        <w:rPr>
          <w:noProof/>
          <w:lang w:val="es-MX" w:eastAsia="es-MX"/>
        </w:rPr>
        <w:drawing>
          <wp:inline distT="0" distB="0" distL="0" distR="0" wp14:anchorId="0DAFBBE1" wp14:editId="1843E336">
            <wp:extent cx="3900488" cy="171450"/>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581" t="39027" r="40937" b="56949"/>
                    <a:stretch/>
                  </pic:blipFill>
                  <pic:spPr bwMode="auto">
                    <a:xfrm>
                      <a:off x="0" y="0"/>
                      <a:ext cx="3903592" cy="171586"/>
                    </a:xfrm>
                    <a:prstGeom prst="rect">
                      <a:avLst/>
                    </a:prstGeom>
                    <a:ln>
                      <a:noFill/>
                    </a:ln>
                    <a:extLst>
                      <a:ext uri="{53640926-AAD7-44D8-BBD7-CCE9431645EC}">
                        <a14:shadowObscured xmlns:a14="http://schemas.microsoft.com/office/drawing/2010/main"/>
                      </a:ext>
                    </a:extLst>
                  </pic:spPr>
                </pic:pic>
              </a:graphicData>
            </a:graphic>
          </wp:inline>
        </w:drawing>
      </w:r>
    </w:p>
    <w:p w:rsidR="00FC65E8" w:rsidRDefault="00FC65E8" w:rsidP="00421D12">
      <w:pPr>
        <w:spacing w:before="100" w:beforeAutospacing="1" w:after="100" w:afterAutospacing="1" w:line="360" w:lineRule="auto"/>
        <w:jc w:val="both"/>
        <w:rPr>
          <w:rFonts w:ascii="Palatino Linotype" w:hAnsi="Palatino Linotype" w:cs="Segoe UI"/>
        </w:rPr>
      </w:pPr>
      <w:r>
        <w:rPr>
          <w:noProof/>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94615</wp:posOffset>
                </wp:positionH>
                <wp:positionV relativeFrom="paragraph">
                  <wp:posOffset>1272540</wp:posOffset>
                </wp:positionV>
                <wp:extent cx="2292350" cy="177800"/>
                <wp:effectExtent l="19050" t="19050" r="12700" b="12700"/>
                <wp:wrapNone/>
                <wp:docPr id="8" name="Rectángulo 8"/>
                <wp:cNvGraphicFramePr/>
                <a:graphic xmlns:a="http://schemas.openxmlformats.org/drawingml/2006/main">
                  <a:graphicData uri="http://schemas.microsoft.com/office/word/2010/wordprocessingShape">
                    <wps:wsp>
                      <wps:cNvSpPr/>
                      <wps:spPr>
                        <a:xfrm>
                          <a:off x="0" y="0"/>
                          <a:ext cx="2292350" cy="177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2D6CE9" id="Rectángulo 8" o:spid="_x0000_s1026" style="position:absolute;margin-left:7.45pt;margin-top:100.2pt;width:180.5pt;height:1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" filled="f" strokecolor="red" strokeweight="2.25pt"/>
            </w:pict>
          </mc:Fallback>
        </mc:AlternateContent>
      </w:r>
      <w:r>
        <w:rPr>
          <w:noProof/>
          <w:lang w:val="es-MX" w:eastAsia="es-MX"/>
        </w:rPr>
        <w:drawing>
          <wp:inline distT="0" distB="0" distL="0" distR="0" wp14:anchorId="560D4F3E" wp14:editId="3DFDCB88">
            <wp:extent cx="4533900" cy="209570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176" t="17925" r="27835" b="30310"/>
                    <a:stretch/>
                  </pic:blipFill>
                  <pic:spPr bwMode="auto">
                    <a:xfrm>
                      <a:off x="0" y="0"/>
                      <a:ext cx="4557306" cy="2106525"/>
                    </a:xfrm>
                    <a:prstGeom prst="rect">
                      <a:avLst/>
                    </a:prstGeom>
                    <a:ln>
                      <a:noFill/>
                    </a:ln>
                    <a:extLst>
                      <a:ext uri="{53640926-AAD7-44D8-BBD7-CCE9431645EC}">
                        <a14:shadowObscured xmlns:a14="http://schemas.microsoft.com/office/drawing/2010/main"/>
                      </a:ext>
                    </a:extLst>
                  </pic:spPr>
                </pic:pic>
              </a:graphicData>
            </a:graphic>
          </wp:inline>
        </w:drawing>
      </w:r>
    </w:p>
    <w:p w:rsidR="00F73A56" w:rsidRDefault="00422502" w:rsidP="00421D12">
      <w:pPr>
        <w:spacing w:before="100" w:beforeAutospacing="1" w:after="100" w:afterAutospacing="1" w:line="360" w:lineRule="auto"/>
        <w:jc w:val="both"/>
        <w:rPr>
          <w:rFonts w:ascii="Palatino Linotype" w:hAnsi="Palatino Linotype" w:cs="Segoe UI"/>
        </w:rPr>
      </w:pPr>
      <w:r>
        <w:rPr>
          <w:rFonts w:ascii="Palatino Linotype" w:hAnsi="Palatino Linotype" w:cs="Segoe UI"/>
        </w:rPr>
        <w:t xml:space="preserve">En ese mismo orden de ideas, </w:t>
      </w:r>
      <w:r w:rsidR="00F73A56">
        <w:rPr>
          <w:rFonts w:ascii="Palatino Linotype" w:hAnsi="Palatino Linotype" w:cs="Segoe UI"/>
        </w:rPr>
        <w:t xml:space="preserve">se tiene que el Hospital en mención forma parte del ISEM, </w:t>
      </w:r>
      <w:r w:rsidR="00FC65E8">
        <w:rPr>
          <w:rFonts w:ascii="Palatino Linotype" w:hAnsi="Palatino Linotype" w:cs="Segoe UI"/>
        </w:rPr>
        <w:t xml:space="preserve">ya que se encuentra de manera concreta dentro de la Dirección de Servicios de Salud, </w:t>
      </w:r>
      <w:r w:rsidR="00F73A56">
        <w:rPr>
          <w:rFonts w:ascii="Palatino Linotype" w:hAnsi="Palatino Linotype" w:cs="Segoe UI"/>
        </w:rPr>
        <w:t xml:space="preserve">siendo </w:t>
      </w:r>
      <w:r w:rsidR="00AE160A">
        <w:rPr>
          <w:rFonts w:ascii="Palatino Linotype" w:hAnsi="Palatino Linotype" w:cs="Segoe UI"/>
        </w:rPr>
        <w:t>el ISEM</w:t>
      </w:r>
      <w:r w:rsidR="00F73A56">
        <w:rPr>
          <w:rFonts w:ascii="Palatino Linotype" w:hAnsi="Palatino Linotype" w:cs="Segoe UI"/>
        </w:rPr>
        <w:t xml:space="preserve"> </w:t>
      </w:r>
      <w:r w:rsidR="00F73A56" w:rsidRPr="00F73A56">
        <w:rPr>
          <w:rFonts w:ascii="Palatino Linotype" w:hAnsi="Palatino Linotype" w:cs="Segoe UI"/>
        </w:rPr>
        <w:t>un organismo público descentralizado, con personalidad jurídica y patrimonio propios, que tiene por objeto la prestación de los s</w:t>
      </w:r>
      <w:r w:rsidR="00F73A56">
        <w:rPr>
          <w:rFonts w:ascii="Palatino Linotype" w:hAnsi="Palatino Linotype" w:cs="Segoe UI"/>
        </w:rPr>
        <w:t>ervicios de salud en la Entidad, como lo indica el artículo 2.5 del Código Administrativo  del Estado de México, que a la letra dice:</w:t>
      </w:r>
    </w:p>
    <w:p w:rsidR="00F73A56" w:rsidRPr="00F73A56" w:rsidRDefault="00F73A56" w:rsidP="00F73A56">
      <w:pPr>
        <w:spacing w:before="100" w:beforeAutospacing="1" w:after="100" w:afterAutospacing="1"/>
        <w:ind w:left="851" w:right="851"/>
        <w:jc w:val="both"/>
        <w:rPr>
          <w:rFonts w:ascii="Palatino Linotype" w:hAnsi="Palatino Linotype" w:cs="Segoe UI"/>
          <w:i/>
          <w:sz w:val="22"/>
        </w:rPr>
      </w:pPr>
      <w:r w:rsidRPr="00F73A56">
        <w:rPr>
          <w:rFonts w:ascii="Palatino Linotype" w:hAnsi="Palatino Linotype" w:cs="Segoe UI"/>
          <w:i/>
          <w:sz w:val="22"/>
        </w:rPr>
        <w:t>“Artículo 2.5. El Instituto de Salud del Estado de México es un organismo público descentralizado, con personalidad jurídica y patrimonio propios, que tiene por objeto la prestación de los servicios de salud en la Entidad.”</w:t>
      </w:r>
    </w:p>
    <w:p w:rsidR="00F73A56" w:rsidRDefault="00F73A56" w:rsidP="00421D12">
      <w:pPr>
        <w:spacing w:before="100" w:beforeAutospacing="1" w:after="100" w:afterAutospacing="1" w:line="360" w:lineRule="auto"/>
        <w:jc w:val="both"/>
        <w:rPr>
          <w:rFonts w:ascii="Palatino Linotype" w:hAnsi="Palatino Linotype" w:cs="Segoe UI"/>
        </w:rPr>
      </w:pPr>
      <w:r>
        <w:rPr>
          <w:rFonts w:ascii="Palatino Linotype" w:hAnsi="Palatino Linotype" w:cs="Segoe UI"/>
        </w:rPr>
        <w:t>Del dispositivo legal en cita, se advierte que el ISEM, es entonces un organismo público descentralizado y por ende un Sujeto Obligado especifico al que se le puede solicitar información de manera directa.</w:t>
      </w:r>
    </w:p>
    <w:p w:rsidR="00F73A56" w:rsidRDefault="00F73A56" w:rsidP="00421D12">
      <w:pPr>
        <w:spacing w:before="100" w:beforeAutospacing="1" w:after="100" w:afterAutospacing="1" w:line="360" w:lineRule="auto"/>
        <w:jc w:val="both"/>
        <w:rPr>
          <w:rFonts w:ascii="Palatino Linotype" w:hAnsi="Palatino Linotype" w:cs="Segoe UI"/>
        </w:rPr>
      </w:pPr>
      <w:r>
        <w:rPr>
          <w:rFonts w:ascii="Palatino Linotype" w:hAnsi="Palatino Linotype" w:cs="Segoe UI"/>
        </w:rPr>
        <w:t xml:space="preserve">Ahora, en relación al Hospital Regional de Alta Especialidad de Zumpango, es oportuno hacer ver que también es un organismo público descentralizado de carácter estatal, con personalidad jurídica y patrimonio propio, creado </w:t>
      </w:r>
      <w:r w:rsidR="005A7673">
        <w:rPr>
          <w:rFonts w:ascii="Palatino Linotype" w:hAnsi="Palatino Linotype" w:cs="Segoe UI"/>
        </w:rPr>
        <w:t>mediante</w:t>
      </w:r>
      <w:r>
        <w:rPr>
          <w:rFonts w:ascii="Palatino Linotype" w:hAnsi="Palatino Linotype" w:cs="Segoe UI"/>
        </w:rPr>
        <w:t xml:space="preserve"> </w:t>
      </w:r>
      <w:r>
        <w:rPr>
          <w:rFonts w:ascii="Palatino Linotype" w:hAnsi="Palatino Linotype" w:cs="Segoe UI"/>
        </w:rPr>
        <w:lastRenderedPageBreak/>
        <w:t xml:space="preserve">decreto </w:t>
      </w:r>
      <w:r w:rsidR="005A7673">
        <w:rPr>
          <w:rFonts w:ascii="Palatino Linotype" w:hAnsi="Palatino Linotype" w:cs="Segoe UI"/>
        </w:rPr>
        <w:t xml:space="preserve">número 58 del Ejecutivo </w:t>
      </w:r>
      <w:r>
        <w:rPr>
          <w:rFonts w:ascii="Palatino Linotype" w:hAnsi="Palatino Linotype" w:cs="Segoe UI"/>
        </w:rPr>
        <w:t>de fecha 8 de agosto de 2007</w:t>
      </w:r>
      <w:r w:rsidR="005A7673">
        <w:rPr>
          <w:rFonts w:ascii="Palatino Linotype" w:hAnsi="Palatino Linotype" w:cs="Segoe UI"/>
        </w:rPr>
        <w:t>, que se plasma a continuación:</w:t>
      </w:r>
    </w:p>
    <w:p w:rsidR="005A7673" w:rsidRDefault="005A7673" w:rsidP="005A7673">
      <w:pPr>
        <w:spacing w:before="100" w:beforeAutospacing="1" w:after="100" w:afterAutospacing="1" w:line="360" w:lineRule="auto"/>
        <w:jc w:val="center"/>
        <w:rPr>
          <w:rFonts w:ascii="Palatino Linotype" w:hAnsi="Palatino Linotype" w:cs="Segoe UI"/>
        </w:rPr>
      </w:pPr>
      <w:r>
        <w:rPr>
          <w:noProof/>
          <w:lang w:val="es-MX" w:eastAsia="es-MX"/>
        </w:rPr>
        <w:drawing>
          <wp:inline distT="0" distB="0" distL="0" distR="0" wp14:anchorId="338C089F" wp14:editId="2FD657EC">
            <wp:extent cx="4864608" cy="1103893"/>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945" t="11819" r="15268" b="60832"/>
                    <a:stretch/>
                  </pic:blipFill>
                  <pic:spPr bwMode="auto">
                    <a:xfrm>
                      <a:off x="0" y="0"/>
                      <a:ext cx="4936037" cy="1120102"/>
                    </a:xfrm>
                    <a:prstGeom prst="rect">
                      <a:avLst/>
                    </a:prstGeom>
                    <a:ln>
                      <a:noFill/>
                    </a:ln>
                    <a:extLst>
                      <a:ext uri="{53640926-AAD7-44D8-BBD7-CCE9431645EC}">
                        <a14:shadowObscured xmlns:a14="http://schemas.microsoft.com/office/drawing/2010/main"/>
                      </a:ext>
                    </a:extLst>
                  </pic:spPr>
                </pic:pic>
              </a:graphicData>
            </a:graphic>
          </wp:inline>
        </w:drawing>
      </w:r>
    </w:p>
    <w:p w:rsidR="005A7673" w:rsidRDefault="005A7673" w:rsidP="00B84C59">
      <w:pPr>
        <w:spacing w:before="240" w:after="240" w:line="360" w:lineRule="auto"/>
        <w:jc w:val="both"/>
        <w:rPr>
          <w:rFonts w:ascii="Palatino Linotype" w:hAnsi="Palatino Linotype" w:cs="Segoe UI"/>
        </w:rPr>
      </w:pPr>
      <w:r>
        <w:rPr>
          <w:rFonts w:ascii="Palatino Linotype" w:hAnsi="Palatino Linotype" w:cs="Arial"/>
        </w:rPr>
        <w:t xml:space="preserve">Correlacionado con lo anterior, mediante decreto 59 del Ejecutivo de fecha </w:t>
      </w:r>
      <w:r>
        <w:rPr>
          <w:rFonts w:ascii="Palatino Linotype" w:hAnsi="Palatino Linotype" w:cs="Segoe UI"/>
        </w:rPr>
        <w:t>8 de agosto de 2007, se expide la Ley que crea el Organismo Público Descentralizado de carácter Estatal denominado Hospital Regional de Alta Especialidad de Zumpango, en donde como ya se ha hecho mención</w:t>
      </w:r>
      <w:r w:rsidR="00433538">
        <w:rPr>
          <w:rFonts w:ascii="Palatino Linotype" w:hAnsi="Palatino Linotype" w:cs="Segoe UI"/>
        </w:rPr>
        <w:t>, se le otorga a dicho</w:t>
      </w:r>
      <w:r>
        <w:rPr>
          <w:rFonts w:ascii="Palatino Linotype" w:hAnsi="Palatino Linotype" w:cs="Segoe UI"/>
        </w:rPr>
        <w:t xml:space="preserve"> Hospital </w:t>
      </w:r>
      <w:r w:rsidR="00433538">
        <w:rPr>
          <w:rFonts w:ascii="Palatino Linotype" w:hAnsi="Palatino Linotype" w:cs="Segoe UI"/>
        </w:rPr>
        <w:t>esa característica, como puede ver a continuación:</w:t>
      </w:r>
    </w:p>
    <w:p w:rsidR="00433538" w:rsidRDefault="00433538" w:rsidP="00172D4F">
      <w:pPr>
        <w:spacing w:before="240" w:after="240" w:line="360" w:lineRule="auto"/>
        <w:jc w:val="center"/>
        <w:rPr>
          <w:rFonts w:ascii="Palatino Linotype" w:hAnsi="Palatino Linotype" w:cs="Arial"/>
        </w:rPr>
      </w:pPr>
      <w:r>
        <w:rPr>
          <w:noProof/>
          <w:lang w:val="es-MX" w:eastAsia="es-MX"/>
        </w:rPr>
        <w:drawing>
          <wp:inline distT="0" distB="0" distL="0" distR="0" wp14:anchorId="6949EF55" wp14:editId="4B4F7B41">
            <wp:extent cx="4389120" cy="153188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945" t="30821" r="16562" b="27918"/>
                    <a:stretch/>
                  </pic:blipFill>
                  <pic:spPr bwMode="auto">
                    <a:xfrm>
                      <a:off x="0" y="0"/>
                      <a:ext cx="4400310" cy="1535793"/>
                    </a:xfrm>
                    <a:prstGeom prst="rect">
                      <a:avLst/>
                    </a:prstGeom>
                    <a:ln>
                      <a:noFill/>
                    </a:ln>
                    <a:extLst>
                      <a:ext uri="{53640926-AAD7-44D8-BBD7-CCE9431645EC}">
                        <a14:shadowObscured xmlns:a14="http://schemas.microsoft.com/office/drawing/2010/main"/>
                      </a:ext>
                    </a:extLst>
                  </pic:spPr>
                </pic:pic>
              </a:graphicData>
            </a:graphic>
          </wp:inline>
        </w:drawing>
      </w:r>
    </w:p>
    <w:p w:rsidR="00433538" w:rsidRDefault="00433538" w:rsidP="00172D4F">
      <w:pPr>
        <w:spacing w:before="240" w:after="240" w:line="360" w:lineRule="auto"/>
        <w:jc w:val="center"/>
        <w:rPr>
          <w:rFonts w:ascii="Palatino Linotype" w:hAnsi="Palatino Linotype" w:cs="Arial"/>
        </w:rPr>
      </w:pPr>
      <w:r>
        <w:rPr>
          <w:noProof/>
          <w:lang w:val="es-MX" w:eastAsia="es-MX"/>
        </w:rPr>
        <w:drawing>
          <wp:inline distT="0" distB="0" distL="0" distR="0" wp14:anchorId="2CBEB496" wp14:editId="24EDCC9E">
            <wp:extent cx="4618976" cy="680314"/>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686" t="22481" r="16043" b="59903"/>
                    <a:stretch/>
                  </pic:blipFill>
                  <pic:spPr bwMode="auto">
                    <a:xfrm>
                      <a:off x="0" y="0"/>
                      <a:ext cx="4675130" cy="688585"/>
                    </a:xfrm>
                    <a:prstGeom prst="rect">
                      <a:avLst/>
                    </a:prstGeom>
                    <a:ln>
                      <a:noFill/>
                    </a:ln>
                    <a:extLst>
                      <a:ext uri="{53640926-AAD7-44D8-BBD7-CCE9431645EC}">
                        <a14:shadowObscured xmlns:a14="http://schemas.microsoft.com/office/drawing/2010/main"/>
                      </a:ext>
                    </a:extLst>
                  </pic:spPr>
                </pic:pic>
              </a:graphicData>
            </a:graphic>
          </wp:inline>
        </w:drawing>
      </w:r>
    </w:p>
    <w:p w:rsidR="0056465C" w:rsidRDefault="0056465C" w:rsidP="00B84C59">
      <w:pPr>
        <w:spacing w:before="240" w:after="240" w:line="360" w:lineRule="auto"/>
        <w:jc w:val="both"/>
        <w:rPr>
          <w:rFonts w:ascii="Palatino Linotype" w:hAnsi="Palatino Linotype" w:cs="Arial"/>
        </w:rPr>
      </w:pPr>
      <w:r>
        <w:rPr>
          <w:rFonts w:ascii="Palatino Linotype" w:hAnsi="Palatino Linotype" w:cs="Arial"/>
        </w:rPr>
        <w:t xml:space="preserve">El mismo Código Administrativo del Estado de México destaca que los Institutos Especializados de Salud tienen la calidad de organismos públicos descentralizados </w:t>
      </w:r>
      <w:r>
        <w:rPr>
          <w:rFonts w:ascii="Palatino Linotype" w:hAnsi="Palatino Linotype" w:cs="Arial"/>
        </w:rPr>
        <w:lastRenderedPageBreak/>
        <w:t xml:space="preserve">es el artículo 2.13 del ordenamiento referido, que indica lo anterior y precisa que el </w:t>
      </w:r>
      <w:r w:rsidRPr="0056465C">
        <w:rPr>
          <w:rFonts w:ascii="Palatino Linotype" w:hAnsi="Palatino Linotype" w:cs="Arial"/>
        </w:rPr>
        <w:t>Hospital Regional de Alta Especialidad de Zumpango</w:t>
      </w:r>
      <w:r>
        <w:rPr>
          <w:rFonts w:ascii="Palatino Linotype" w:hAnsi="Palatino Linotype" w:cs="Arial"/>
        </w:rPr>
        <w:t xml:space="preserve"> se encuentra clasificado de esa manera, como se puede ver a continuación:</w:t>
      </w:r>
    </w:p>
    <w:p w:rsidR="0056465C" w:rsidRPr="0056465C" w:rsidRDefault="0056465C" w:rsidP="0056465C">
      <w:pPr>
        <w:spacing w:before="100" w:beforeAutospacing="1" w:after="100" w:afterAutospacing="1"/>
        <w:ind w:left="851" w:right="851"/>
        <w:jc w:val="both"/>
        <w:rPr>
          <w:rFonts w:ascii="Palatino Linotype" w:hAnsi="Palatino Linotype" w:cs="Arial"/>
          <w:i/>
          <w:sz w:val="22"/>
        </w:rPr>
      </w:pPr>
      <w:r>
        <w:rPr>
          <w:rFonts w:ascii="Palatino Linotype" w:hAnsi="Palatino Linotype" w:cs="Arial"/>
          <w:i/>
          <w:sz w:val="22"/>
        </w:rPr>
        <w:t>“</w:t>
      </w:r>
      <w:r w:rsidRPr="0056465C">
        <w:rPr>
          <w:rFonts w:ascii="Palatino Linotype" w:hAnsi="Palatino Linotype" w:cs="Arial"/>
          <w:i/>
          <w:sz w:val="22"/>
        </w:rPr>
        <w:t xml:space="preserve">Artículo 2.13.- Los Institutos Especializados de Salud son organismos públicos descentralizados, con personalidad jurídica y patrimonio propios, que tienen por objeto la investigación, enseñanza y prestación de servicios de alta especialidad. </w:t>
      </w:r>
    </w:p>
    <w:p w:rsidR="0056465C" w:rsidRPr="0056465C" w:rsidRDefault="0056465C" w:rsidP="0056465C">
      <w:pPr>
        <w:spacing w:before="100" w:beforeAutospacing="1" w:after="100" w:afterAutospacing="1"/>
        <w:ind w:left="851" w:right="851"/>
        <w:jc w:val="both"/>
        <w:rPr>
          <w:rFonts w:ascii="Palatino Linotype" w:hAnsi="Palatino Linotype" w:cs="Arial"/>
          <w:i/>
          <w:sz w:val="22"/>
        </w:rPr>
      </w:pPr>
      <w:r w:rsidRPr="0056465C">
        <w:rPr>
          <w:rFonts w:ascii="Palatino Linotype" w:hAnsi="Palatino Linotype" w:cs="Arial"/>
          <w:i/>
          <w:sz w:val="22"/>
        </w:rPr>
        <w:t xml:space="preserve">A. Serán Institutos Especializados de Salud del Estado de México, cada uno de los siguientes: </w:t>
      </w:r>
    </w:p>
    <w:p w:rsidR="0056465C" w:rsidRPr="0056465C" w:rsidRDefault="0056465C" w:rsidP="0056465C">
      <w:pPr>
        <w:spacing w:before="100" w:beforeAutospacing="1" w:after="100" w:afterAutospacing="1"/>
        <w:ind w:left="851" w:right="851"/>
        <w:jc w:val="both"/>
        <w:rPr>
          <w:rFonts w:ascii="Palatino Linotype" w:hAnsi="Palatino Linotype" w:cs="Arial"/>
          <w:i/>
          <w:sz w:val="22"/>
        </w:rPr>
      </w:pPr>
      <w:r w:rsidRPr="0056465C">
        <w:rPr>
          <w:rFonts w:ascii="Palatino Linotype" w:hAnsi="Palatino Linotype" w:cs="Arial"/>
          <w:i/>
          <w:sz w:val="22"/>
        </w:rPr>
        <w:t xml:space="preserve">I. El Instituto Materno Infantil del Estado de México; </w:t>
      </w:r>
    </w:p>
    <w:p w:rsidR="0056465C" w:rsidRPr="0056465C" w:rsidRDefault="0056465C" w:rsidP="0056465C">
      <w:pPr>
        <w:spacing w:before="100" w:beforeAutospacing="1" w:after="100" w:afterAutospacing="1"/>
        <w:ind w:left="851" w:right="851"/>
        <w:jc w:val="both"/>
        <w:rPr>
          <w:rFonts w:ascii="Palatino Linotype" w:hAnsi="Palatino Linotype" w:cs="Arial"/>
          <w:i/>
          <w:sz w:val="22"/>
        </w:rPr>
      </w:pPr>
      <w:r w:rsidRPr="0056465C">
        <w:rPr>
          <w:rFonts w:ascii="Palatino Linotype" w:hAnsi="Palatino Linotype" w:cs="Arial"/>
          <w:i/>
          <w:sz w:val="22"/>
        </w:rPr>
        <w:t xml:space="preserve">II. Derogada </w:t>
      </w:r>
    </w:p>
    <w:p w:rsidR="0056465C" w:rsidRPr="0056465C" w:rsidRDefault="0056465C" w:rsidP="0056465C">
      <w:pPr>
        <w:spacing w:before="100" w:beforeAutospacing="1" w:after="100" w:afterAutospacing="1"/>
        <w:ind w:left="851" w:right="851"/>
        <w:jc w:val="both"/>
        <w:rPr>
          <w:rFonts w:ascii="Palatino Linotype" w:hAnsi="Palatino Linotype" w:cs="Arial"/>
          <w:i/>
          <w:sz w:val="22"/>
        </w:rPr>
      </w:pPr>
      <w:r w:rsidRPr="0056465C">
        <w:rPr>
          <w:rFonts w:ascii="Palatino Linotype" w:hAnsi="Palatino Linotype" w:cs="Arial"/>
          <w:i/>
          <w:sz w:val="22"/>
        </w:rPr>
        <w:t xml:space="preserve">III. Hospital Regional de Alta Especialidad de Zumpango; y </w:t>
      </w:r>
    </w:p>
    <w:p w:rsidR="0056465C" w:rsidRPr="0056465C" w:rsidRDefault="0056465C" w:rsidP="0056465C">
      <w:pPr>
        <w:spacing w:before="100" w:beforeAutospacing="1" w:after="100" w:afterAutospacing="1"/>
        <w:ind w:left="851" w:right="851"/>
        <w:jc w:val="both"/>
        <w:rPr>
          <w:rFonts w:ascii="Palatino Linotype" w:hAnsi="Palatino Linotype" w:cs="Arial"/>
          <w:i/>
          <w:sz w:val="22"/>
        </w:rPr>
      </w:pPr>
      <w:r w:rsidRPr="0056465C">
        <w:rPr>
          <w:rFonts w:ascii="Palatino Linotype" w:hAnsi="Palatino Linotype" w:cs="Arial"/>
          <w:i/>
          <w:sz w:val="22"/>
        </w:rPr>
        <w:t>IV. Los demás que el Ejecutivo del Estado considere necesarios. (…)”</w:t>
      </w:r>
    </w:p>
    <w:p w:rsidR="0056465C" w:rsidRDefault="0056465C" w:rsidP="00B84C59">
      <w:pPr>
        <w:spacing w:before="240" w:after="240" w:line="360" w:lineRule="auto"/>
        <w:jc w:val="both"/>
        <w:rPr>
          <w:rFonts w:ascii="Palatino Linotype" w:hAnsi="Palatino Linotype" w:cs="Arial"/>
        </w:rPr>
      </w:pPr>
      <w:r>
        <w:rPr>
          <w:rFonts w:ascii="Palatino Linotype" w:hAnsi="Palatino Linotype" w:cs="Arial"/>
        </w:rPr>
        <w:t>Dicho lo anterior, es preciso referir que el Acuerdo mediante el cual el Pleno del Instituto de Transparencia, Acceso a la Información Pública y Protección d</w:t>
      </w:r>
      <w:r w:rsidRPr="0056465C">
        <w:rPr>
          <w:rFonts w:ascii="Palatino Linotype" w:hAnsi="Palatino Linotype" w:cs="Arial"/>
        </w:rPr>
        <w:t>e Dato</w:t>
      </w:r>
      <w:r>
        <w:rPr>
          <w:rFonts w:ascii="Palatino Linotype" w:hAnsi="Palatino Linotype" w:cs="Arial"/>
        </w:rPr>
        <w:t>s Personales del Estado de México y Municipios, modifica el Padrón de Sujetos Obligados en materia de Transparencia y Acceso a la Información Pública del Estado de México y</w:t>
      </w:r>
      <w:r w:rsidRPr="0056465C">
        <w:rPr>
          <w:rFonts w:ascii="Palatino Linotype" w:hAnsi="Palatino Linotype" w:cs="Arial"/>
        </w:rPr>
        <w:t xml:space="preserve"> Municipios</w:t>
      </w:r>
      <w:r>
        <w:rPr>
          <w:rFonts w:ascii="Palatino Linotype" w:hAnsi="Palatino Linotype" w:cs="Arial"/>
        </w:rPr>
        <w:t xml:space="preserve"> de fecha 27 de noviembre del 2017</w:t>
      </w:r>
      <w:r w:rsidR="00D60320">
        <w:rPr>
          <w:rFonts w:ascii="Palatino Linotype" w:hAnsi="Palatino Linotype" w:cs="Arial"/>
        </w:rPr>
        <w:t xml:space="preserve">, establece que tanto el Instituto de Salud del Estado de México como el Hospital Regional de </w:t>
      </w:r>
      <w:r w:rsidR="00D60320" w:rsidRPr="0056465C">
        <w:rPr>
          <w:rFonts w:ascii="Palatino Linotype" w:hAnsi="Palatino Linotype" w:cs="Arial"/>
        </w:rPr>
        <w:t>Alta Especialidad de Zumpango</w:t>
      </w:r>
      <w:r w:rsidR="00D60320">
        <w:rPr>
          <w:rFonts w:ascii="Palatino Linotype" w:hAnsi="Palatino Linotype" w:cs="Arial"/>
        </w:rPr>
        <w:t>, son Sujetos Obligados específicos a los cuales se les puede solicitar información de manera directa, como se puede apreciar a continuación:</w:t>
      </w:r>
    </w:p>
    <w:p w:rsidR="00D60320" w:rsidRDefault="00D60320" w:rsidP="00B84C59">
      <w:pPr>
        <w:spacing w:before="240" w:after="240" w:line="360" w:lineRule="auto"/>
        <w:jc w:val="both"/>
        <w:rPr>
          <w:rFonts w:ascii="Palatino Linotype" w:hAnsi="Palatino Linotype" w:cs="Arial"/>
        </w:rPr>
      </w:pPr>
      <w:r>
        <w:rPr>
          <w:noProof/>
          <w:lang w:val="es-MX" w:eastAsia="es-MX"/>
        </w:rPr>
        <w:lastRenderedPageBreak/>
        <w:drawing>
          <wp:inline distT="0" distB="0" distL="0" distR="0" wp14:anchorId="0FEA3AA4" wp14:editId="682993D7">
            <wp:extent cx="6190743" cy="833933"/>
            <wp:effectExtent l="0" t="0" r="63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472" t="24333" r="9270" b="55967"/>
                    <a:stretch/>
                  </pic:blipFill>
                  <pic:spPr bwMode="auto">
                    <a:xfrm>
                      <a:off x="0" y="0"/>
                      <a:ext cx="6223273" cy="838315"/>
                    </a:xfrm>
                    <a:prstGeom prst="rect">
                      <a:avLst/>
                    </a:prstGeom>
                    <a:ln>
                      <a:noFill/>
                    </a:ln>
                    <a:extLst>
                      <a:ext uri="{53640926-AAD7-44D8-BBD7-CCE9431645EC}">
                        <a14:shadowObscured xmlns:a14="http://schemas.microsoft.com/office/drawing/2010/main"/>
                      </a:ext>
                    </a:extLst>
                  </pic:spPr>
                </pic:pic>
              </a:graphicData>
            </a:graphic>
          </wp:inline>
        </w:drawing>
      </w:r>
    </w:p>
    <w:p w:rsidR="00B84C59" w:rsidRDefault="00B84C59" w:rsidP="00B84C59">
      <w:pPr>
        <w:spacing w:before="240" w:after="240" w:line="360" w:lineRule="auto"/>
        <w:jc w:val="both"/>
        <w:rPr>
          <w:rFonts w:ascii="Palatino Linotype" w:hAnsi="Palatino Linotype" w:cs="Arial"/>
        </w:rPr>
      </w:pPr>
      <w:r>
        <w:rPr>
          <w:rFonts w:ascii="Palatino Linotype" w:hAnsi="Palatino Linotype" w:cs="Arial"/>
        </w:rPr>
        <w:t xml:space="preserve">Entonces, es evidente que el Sujeto Obligado, no tiene en sus archivos </w:t>
      </w:r>
      <w:r w:rsidR="00D60320">
        <w:rPr>
          <w:rFonts w:ascii="Palatino Linotype" w:hAnsi="Palatino Linotype" w:cs="Arial"/>
        </w:rPr>
        <w:t>la información que solicita la parte recurrente, toda vez que los Hospitales referidos pertenecen a otro Sujeto Obligado y en su caso es un Sujeto Obligado al que se le debe requerir lo solicitado de manera directa.</w:t>
      </w:r>
    </w:p>
    <w:p w:rsidR="00B84C59" w:rsidRDefault="00B84C59" w:rsidP="00B84C59">
      <w:pPr>
        <w:spacing w:before="240" w:after="240" w:line="360" w:lineRule="auto"/>
        <w:jc w:val="both"/>
        <w:rPr>
          <w:rFonts w:ascii="Palatino Linotype" w:hAnsi="Palatino Linotype"/>
          <w:lang w:val="es-MX" w:eastAsia="en-US"/>
        </w:rPr>
      </w:pPr>
      <w:r>
        <w:rPr>
          <w:rFonts w:ascii="Palatino Linotype" w:hAnsi="Palatino Linotype" w:cs="Arial"/>
          <w:lang w:val="es-MX" w:eastAsia="en-US"/>
        </w:rPr>
        <w:t xml:space="preserve">No obstante lo expuesto, el </w:t>
      </w:r>
      <w:r w:rsidRPr="000D03CC">
        <w:rPr>
          <w:rFonts w:ascii="Palatino Linotype" w:hAnsi="Palatino Linotype" w:cs="Arial"/>
          <w:lang w:val="es-MX" w:eastAsia="en-US"/>
        </w:rPr>
        <w:t>Sujeto Obligado</w:t>
      </w:r>
      <w:r>
        <w:rPr>
          <w:rFonts w:ascii="Palatino Linotype" w:hAnsi="Palatino Linotype" w:cs="Arial"/>
          <w:lang w:val="es-MX" w:eastAsia="en-US"/>
        </w:rPr>
        <w:t xml:space="preserve"> omitió proceder conforme a lo dispuesto en el artículo 167 </w:t>
      </w:r>
      <w:r>
        <w:rPr>
          <w:rFonts w:ascii="Palatino Linotype" w:hAnsi="Palatino Linotype" w:cs="Arial"/>
        </w:rPr>
        <w:t>de la Ley de Transparencia y Acceso a la Información Pública del Estado de México y Municipios</w:t>
      </w:r>
      <w:r>
        <w:rPr>
          <w:rFonts w:ascii="Palatino Linotype" w:hAnsi="Palatino Linotype" w:cs="Arial"/>
          <w:lang w:val="es-MX" w:eastAsia="en-US"/>
        </w:rPr>
        <w:t xml:space="preserve">, ya que dicho precepto normativo señala que </w:t>
      </w:r>
      <w:r w:rsidRPr="008953CC">
        <w:rPr>
          <w:rFonts w:ascii="Palatino Linotype" w:hAnsi="Palatino Linotype"/>
          <w:lang w:val="es-MX" w:eastAsia="en-US"/>
        </w:rPr>
        <w:t>cuando las Unidades de Transparencia determinen la notoria incompetencia para atender las solicitudes de acceso a la información, deberán comunicarlo al solicitante dentro de los tres días hábiles posteriores a la recepción de la solicitud, y en su caso, orientar al particular al o los</w:t>
      </w:r>
      <w:r>
        <w:rPr>
          <w:rFonts w:ascii="Palatino Linotype" w:hAnsi="Palatino Linotype"/>
          <w:lang w:val="es-MX" w:eastAsia="en-US"/>
        </w:rPr>
        <w:t xml:space="preserve"> sujetos obligados competentes.</w:t>
      </w:r>
    </w:p>
    <w:p w:rsidR="00B84C59" w:rsidRDefault="00B84C59" w:rsidP="00B84C59">
      <w:pPr>
        <w:spacing w:before="240" w:after="240" w:line="360" w:lineRule="auto"/>
        <w:jc w:val="both"/>
        <w:rPr>
          <w:rFonts w:ascii="Palatino Linotype" w:hAnsi="Palatino Linotype"/>
          <w:lang w:val="es-MX" w:eastAsia="en-US"/>
        </w:rPr>
      </w:pPr>
      <w:r>
        <w:rPr>
          <w:rFonts w:ascii="Palatino Linotype" w:hAnsi="Palatino Linotype"/>
          <w:lang w:val="es-MX" w:eastAsia="en-US"/>
        </w:rPr>
        <w:t>Así las cosas</w:t>
      </w:r>
      <w:r w:rsidR="00AC19B8">
        <w:rPr>
          <w:rFonts w:ascii="Palatino Linotype" w:hAnsi="Palatino Linotype"/>
          <w:lang w:val="es-MX" w:eastAsia="en-US"/>
        </w:rPr>
        <w:t>,</w:t>
      </w:r>
      <w:r>
        <w:rPr>
          <w:rFonts w:ascii="Palatino Linotype" w:hAnsi="Palatino Linotype"/>
          <w:lang w:val="es-MX" w:eastAsia="en-US"/>
        </w:rPr>
        <w:t xml:space="preserve"> en el presente caso la respuesta en relación a la incompetencia por lo que hace </w:t>
      </w:r>
      <w:r w:rsidR="00D60320">
        <w:rPr>
          <w:rFonts w:ascii="Palatino Linotype" w:hAnsi="Palatino Linotype"/>
          <w:lang w:val="es-MX" w:eastAsia="en-US"/>
        </w:rPr>
        <w:t xml:space="preserve">otorgar el </w:t>
      </w:r>
      <w:r w:rsidR="00D60320" w:rsidRPr="00D60320">
        <w:rPr>
          <w:rFonts w:ascii="Palatino Linotype" w:hAnsi="Palatino Linotype"/>
          <w:lang w:eastAsia="en-US"/>
        </w:rPr>
        <w:t>fundamento legal que faculte a los prestadores de servicio social del Hospital General “Las Américas” y Hospital Regional de Alta Especialidad de Zumpango, para firmar las notas de enfermería y al personal contratado para delegar funciones a los prestadores de servicio social</w:t>
      </w:r>
      <w:r w:rsidRPr="00D60320">
        <w:rPr>
          <w:rFonts w:ascii="Palatino Linotype" w:hAnsi="Palatino Linotype"/>
          <w:lang w:val="es-MX" w:eastAsia="en-US"/>
        </w:rPr>
        <w:t>,</w:t>
      </w:r>
      <w:r>
        <w:rPr>
          <w:rFonts w:ascii="Palatino Linotype" w:hAnsi="Palatino Linotype"/>
          <w:lang w:val="es-MX" w:eastAsia="en-US"/>
        </w:rPr>
        <w:t xml:space="preserve"> no fue efectuada dentro de los tres días siguientes a la fecha de la solicitud de información; por lo que</w:t>
      </w:r>
      <w:r w:rsidRPr="008953CC">
        <w:rPr>
          <w:rFonts w:ascii="Palatino Linotype" w:hAnsi="Palatino Linotype"/>
          <w:lang w:val="es-MX" w:eastAsia="en-US"/>
        </w:rPr>
        <w:t>, si dicha determinación se realiz</w:t>
      </w:r>
      <w:r>
        <w:rPr>
          <w:rFonts w:ascii="Palatino Linotype" w:hAnsi="Palatino Linotype"/>
          <w:lang w:val="es-MX" w:eastAsia="en-US"/>
        </w:rPr>
        <w:t>a posterior al plazo concedido</w:t>
      </w:r>
      <w:r w:rsidRPr="00E72E83">
        <w:rPr>
          <w:rFonts w:ascii="Palatino Linotype" w:hAnsi="Palatino Linotype"/>
          <w:lang w:val="es-MX" w:eastAsia="en-US"/>
        </w:rPr>
        <w:t xml:space="preserve">, </w:t>
      </w:r>
      <w:r w:rsidRPr="008953CC">
        <w:rPr>
          <w:rFonts w:ascii="Palatino Linotype" w:hAnsi="Palatino Linotype"/>
          <w:lang w:val="es-MX" w:eastAsia="en-US"/>
        </w:rPr>
        <w:t xml:space="preserve">corresponde al Comité de Transparencia del </w:t>
      </w:r>
      <w:r w:rsidRPr="00093178">
        <w:rPr>
          <w:rFonts w:ascii="Palatino Linotype" w:hAnsi="Palatino Linotype"/>
          <w:lang w:val="es-MX" w:eastAsia="en-US"/>
        </w:rPr>
        <w:t>Sujeto Obligado</w:t>
      </w:r>
      <w:r w:rsidRPr="00E72E83">
        <w:rPr>
          <w:rFonts w:ascii="Palatino Linotype" w:hAnsi="Palatino Linotype"/>
          <w:lang w:val="es-MX" w:eastAsia="en-US"/>
        </w:rPr>
        <w:t xml:space="preserve"> </w:t>
      </w:r>
      <w:r w:rsidRPr="008953CC">
        <w:rPr>
          <w:rFonts w:ascii="Palatino Linotype" w:hAnsi="Palatino Linotype"/>
          <w:lang w:val="es-MX" w:eastAsia="en-US"/>
        </w:rPr>
        <w:t xml:space="preserve">emitir la declaratoria de incompetencia en </w:t>
      </w:r>
      <w:r w:rsidRPr="008953CC">
        <w:rPr>
          <w:rFonts w:ascii="Palatino Linotype" w:hAnsi="Palatino Linotype"/>
          <w:lang w:val="es-MX" w:eastAsia="en-US"/>
        </w:rPr>
        <w:lastRenderedPageBreak/>
        <w:t xml:space="preserve">términos de lo dispuesto en el artículo 49, fracción II de la Ley de Transparencia </w:t>
      </w:r>
      <w:r>
        <w:rPr>
          <w:rFonts w:ascii="Palatino Linotype" w:hAnsi="Palatino Linotype"/>
          <w:lang w:val="es-MX" w:eastAsia="en-US"/>
        </w:rPr>
        <w:t>de la literalidad siguiente:</w:t>
      </w:r>
    </w:p>
    <w:p w:rsidR="00B84C59" w:rsidRPr="00093178" w:rsidRDefault="00B84C59" w:rsidP="00B84C59">
      <w:pPr>
        <w:spacing w:before="240" w:after="240"/>
        <w:ind w:left="851" w:right="900"/>
        <w:jc w:val="both"/>
        <w:rPr>
          <w:rFonts w:ascii="Palatino Linotype" w:hAnsi="Palatino Linotype"/>
          <w:i/>
          <w:sz w:val="22"/>
          <w:lang w:val="es-MX" w:eastAsia="en-US"/>
        </w:rPr>
      </w:pPr>
      <w:r w:rsidRPr="00093178">
        <w:rPr>
          <w:rFonts w:ascii="Palatino Linotype" w:hAnsi="Palatino Linotype"/>
          <w:i/>
          <w:sz w:val="22"/>
          <w:lang w:val="es-MX" w:eastAsia="en-US"/>
        </w:rPr>
        <w:t>“</w:t>
      </w:r>
      <w:r w:rsidRPr="00093178">
        <w:rPr>
          <w:rFonts w:ascii="Palatino Linotype" w:hAnsi="Palatino Linotype"/>
          <w:b/>
          <w:i/>
          <w:sz w:val="22"/>
          <w:lang w:val="es-MX" w:eastAsia="en-US"/>
        </w:rPr>
        <w:t>Artículo 49. Los Comités de Transparencia tendrán las siguientes atribuciones</w:t>
      </w:r>
      <w:r w:rsidRPr="00093178">
        <w:rPr>
          <w:rFonts w:ascii="Palatino Linotype" w:hAnsi="Palatino Linotype"/>
          <w:i/>
          <w:sz w:val="22"/>
          <w:lang w:val="es-MX" w:eastAsia="en-US"/>
        </w:rPr>
        <w:t>:</w:t>
      </w:r>
    </w:p>
    <w:p w:rsidR="00B84C59" w:rsidRPr="00093178" w:rsidRDefault="00B84C59" w:rsidP="00B84C59">
      <w:pPr>
        <w:spacing w:before="240" w:after="240"/>
        <w:ind w:left="851" w:right="900"/>
        <w:jc w:val="both"/>
        <w:rPr>
          <w:rFonts w:ascii="Palatino Linotype" w:hAnsi="Palatino Linotype"/>
          <w:i/>
          <w:sz w:val="22"/>
          <w:lang w:val="es-MX" w:eastAsia="en-US"/>
        </w:rPr>
      </w:pPr>
      <w:r w:rsidRPr="00093178">
        <w:rPr>
          <w:rFonts w:ascii="Palatino Linotype" w:hAnsi="Palatino Linotype"/>
          <w:i/>
          <w:sz w:val="22"/>
          <w:lang w:val="es-MX" w:eastAsia="en-US"/>
        </w:rPr>
        <w:t>(…)</w:t>
      </w:r>
    </w:p>
    <w:p w:rsidR="00B84C59" w:rsidRPr="00093178" w:rsidRDefault="00B84C59" w:rsidP="00B84C59">
      <w:pPr>
        <w:spacing w:before="240" w:after="240"/>
        <w:ind w:left="851" w:right="900"/>
        <w:jc w:val="both"/>
        <w:rPr>
          <w:rFonts w:ascii="Palatino Linotype" w:hAnsi="Palatino Linotype"/>
          <w:i/>
          <w:sz w:val="22"/>
          <w:lang w:val="es-MX" w:eastAsia="en-US"/>
        </w:rPr>
      </w:pPr>
      <w:r w:rsidRPr="00093178">
        <w:rPr>
          <w:rFonts w:ascii="Palatino Linotype" w:hAnsi="Palatino Linotype"/>
          <w:b/>
          <w:i/>
          <w:sz w:val="22"/>
          <w:lang w:val="es-MX" w:eastAsia="en-US"/>
        </w:rPr>
        <w:t>II. Confirmar, modificar o revocar las determinaciones que en materia de</w:t>
      </w:r>
      <w:r w:rsidRPr="00093178">
        <w:rPr>
          <w:rFonts w:ascii="Palatino Linotype" w:hAnsi="Palatino Linotype"/>
          <w:i/>
          <w:sz w:val="22"/>
          <w:lang w:val="es-MX" w:eastAsia="en-US"/>
        </w:rPr>
        <w:t xml:space="preserve"> ampliación del plazo de respuesta, clasificación de la información y </w:t>
      </w:r>
      <w:r w:rsidRPr="00093178">
        <w:rPr>
          <w:rFonts w:ascii="Palatino Linotype" w:hAnsi="Palatino Linotype"/>
          <w:b/>
          <w:i/>
          <w:sz w:val="22"/>
          <w:lang w:val="es-MX" w:eastAsia="en-US"/>
        </w:rPr>
        <w:t xml:space="preserve">declaración </w:t>
      </w:r>
      <w:r w:rsidRPr="00093178">
        <w:rPr>
          <w:rFonts w:ascii="Palatino Linotype" w:hAnsi="Palatino Linotype"/>
          <w:i/>
          <w:sz w:val="22"/>
          <w:lang w:val="es-MX" w:eastAsia="en-US"/>
        </w:rPr>
        <w:t xml:space="preserve">de inexistencia o </w:t>
      </w:r>
      <w:r w:rsidRPr="00093178">
        <w:rPr>
          <w:rFonts w:ascii="Palatino Linotype" w:hAnsi="Palatino Linotype"/>
          <w:b/>
          <w:i/>
          <w:sz w:val="22"/>
          <w:lang w:val="es-MX" w:eastAsia="en-US"/>
        </w:rPr>
        <w:t>de incompetencia</w:t>
      </w:r>
      <w:r w:rsidRPr="00093178">
        <w:rPr>
          <w:rFonts w:ascii="Palatino Linotype" w:hAnsi="Palatino Linotype"/>
          <w:i/>
          <w:sz w:val="22"/>
          <w:lang w:val="es-MX" w:eastAsia="en-US"/>
        </w:rPr>
        <w:t xml:space="preserve"> realicen los titulares de las áreas de los sujetos obligados;…”</w:t>
      </w:r>
    </w:p>
    <w:p w:rsidR="00B84C59" w:rsidRPr="00AF5B3D" w:rsidRDefault="00B84C59" w:rsidP="00B84C59">
      <w:pPr>
        <w:spacing w:before="240" w:after="240" w:line="360" w:lineRule="auto"/>
        <w:ind w:right="49"/>
        <w:jc w:val="both"/>
        <w:rPr>
          <w:rFonts w:ascii="Palatino Linotype" w:hAnsi="Palatino Linotype" w:cs="Arial"/>
          <w:lang w:eastAsia="es-MX"/>
        </w:rPr>
      </w:pPr>
      <w:r>
        <w:rPr>
          <w:rFonts w:ascii="Palatino Linotype" w:hAnsi="Palatino Linotype" w:cs="Arial"/>
          <w:lang w:eastAsia="es-MX"/>
        </w:rPr>
        <w:t>R</w:t>
      </w:r>
      <w:r w:rsidRPr="00AF5B3D">
        <w:rPr>
          <w:rFonts w:ascii="Palatino Linotype" w:hAnsi="Palatino Linotype" w:cs="Arial"/>
          <w:lang w:eastAsia="es-MX"/>
        </w:rPr>
        <w:t>azón por la cual con la finalidad de garantizar el pleno ejercicio del derecho de acceso a la información pública,</w:t>
      </w:r>
      <w:r>
        <w:rPr>
          <w:rFonts w:ascii="Palatino Linotype" w:hAnsi="Palatino Linotype" w:cs="Arial"/>
          <w:lang w:eastAsia="es-MX"/>
        </w:rPr>
        <w:t xml:space="preserve"> resulta procedente modificar la respuesta del Sujeto Obligado, para </w:t>
      </w:r>
      <w:r w:rsidRPr="00AF5B3D">
        <w:rPr>
          <w:rFonts w:ascii="Palatino Linotype" w:hAnsi="Palatino Linotype" w:cs="Arial"/>
          <w:lang w:eastAsia="es-MX"/>
        </w:rPr>
        <w:t>ordenar</w:t>
      </w:r>
      <w:r>
        <w:rPr>
          <w:rFonts w:ascii="Palatino Linotype" w:hAnsi="Palatino Linotype" w:cs="Arial"/>
          <w:lang w:eastAsia="es-MX"/>
        </w:rPr>
        <w:t>le</w:t>
      </w:r>
      <w:r w:rsidRPr="00AF5B3D">
        <w:rPr>
          <w:rFonts w:ascii="Palatino Linotype" w:hAnsi="Palatino Linotype" w:cs="Arial"/>
          <w:lang w:eastAsia="es-MX"/>
        </w:rPr>
        <w:t xml:space="preserve"> </w:t>
      </w:r>
      <w:r>
        <w:rPr>
          <w:rFonts w:ascii="Palatino Linotype" w:hAnsi="Palatino Linotype" w:cs="Arial"/>
          <w:lang w:eastAsia="es-MX"/>
        </w:rPr>
        <w:t>al Sujeto Obligado</w:t>
      </w:r>
      <w:r w:rsidRPr="00AF5B3D">
        <w:rPr>
          <w:rFonts w:ascii="Palatino Linotype" w:hAnsi="Palatino Linotype" w:cs="Arial"/>
          <w:lang w:eastAsia="es-MX"/>
        </w:rPr>
        <w:t xml:space="preserve"> emita un acuerdo de incompetencia debidamente fundado y motivado</w:t>
      </w:r>
      <w:r>
        <w:rPr>
          <w:rFonts w:ascii="Palatino Linotype" w:hAnsi="Palatino Linotype" w:cs="Arial"/>
          <w:lang w:eastAsia="es-MX"/>
        </w:rPr>
        <w:t xml:space="preserve"> a través de su Comité de Transparencia</w:t>
      </w:r>
      <w:r w:rsidRPr="00AF5B3D">
        <w:rPr>
          <w:rFonts w:ascii="Palatino Linotype" w:hAnsi="Palatino Linotype" w:cs="Arial"/>
          <w:lang w:eastAsia="es-MX"/>
        </w:rPr>
        <w:t xml:space="preserve">, en el que exprese las razones, motivos y circunstancias de hecho y derecho por virtud de las cuales justifique su incompetencia. </w:t>
      </w:r>
    </w:p>
    <w:p w:rsidR="00B84C59" w:rsidRPr="005668F4" w:rsidRDefault="00B84C59" w:rsidP="00B84C59">
      <w:pPr>
        <w:spacing w:after="240" w:line="360" w:lineRule="auto"/>
        <w:jc w:val="both"/>
        <w:rPr>
          <w:rFonts w:ascii="Palatino Linotype" w:hAnsi="Palatino Linotype" w:cs="Arial"/>
        </w:rPr>
      </w:pPr>
      <w:r>
        <w:rPr>
          <w:rFonts w:ascii="Palatino Linotype" w:hAnsi="Palatino Linotype"/>
        </w:rPr>
        <w:t>A mayor abundamiento, respecto de</w:t>
      </w:r>
      <w:r w:rsidRPr="005668F4">
        <w:rPr>
          <w:rFonts w:ascii="Palatino Linotype" w:hAnsi="Palatino Linotype"/>
        </w:rPr>
        <w:t xml:space="preserve"> la fundamentación y motivación, debe recordarse que la primera de ellas consiste en </w:t>
      </w:r>
      <w:r w:rsidRPr="005668F4">
        <w:rPr>
          <w:rFonts w:ascii="Palatino Linotype" w:hAnsi="Palatino Linotype" w:cs="Arial"/>
        </w:rPr>
        <w:t>la expresión de los dispositivos jurídicos en los que se sustenten los supuestos propios del asunto, y por motivación el señalamiento de las causas inmediatas, las razones específicas y los motivos particulares que se tomaron en consideración para llegar a la determinación obtenida, debiendo existir además una correspondencia lógica entre ambos supuestos.</w:t>
      </w:r>
    </w:p>
    <w:p w:rsidR="00B84C59" w:rsidRPr="005668F4" w:rsidRDefault="00B84C59" w:rsidP="00B84C59">
      <w:pPr>
        <w:spacing w:before="240" w:after="240" w:line="360" w:lineRule="auto"/>
        <w:jc w:val="both"/>
        <w:rPr>
          <w:rFonts w:ascii="Palatino Linotype" w:hAnsi="Palatino Linotype" w:cs="Arial"/>
          <w:bCs/>
        </w:rPr>
      </w:pPr>
      <w:r w:rsidRPr="005668F4">
        <w:rPr>
          <w:rFonts w:ascii="Palatino Linotype" w:hAnsi="Palatino Linotype" w:cs="Arial"/>
          <w:bCs/>
        </w:rPr>
        <w:lastRenderedPageBreak/>
        <w:t>Sirven de sustento a lo anterior las tesis jurisprudenciales número I.4º.A. J/43 y VI. 2º. J/43, publicadas en el Semanario Judicial de la Federación y su Gaceta, bajo el número de registro 175,082 y 203,143, respectivamente, cuyo texto y sentido literal es el siguiente:</w:t>
      </w:r>
    </w:p>
    <w:p w:rsidR="00B84C59" w:rsidRPr="005668F4" w:rsidRDefault="00B84C59" w:rsidP="00B84C59">
      <w:pPr>
        <w:spacing w:before="240" w:after="240"/>
        <w:ind w:left="851" w:right="900"/>
        <w:jc w:val="both"/>
        <w:rPr>
          <w:rFonts w:ascii="Palatino Linotype" w:hAnsi="Palatino Linotype" w:cs="Arial"/>
          <w:bCs/>
          <w:i/>
          <w:iCs/>
          <w:sz w:val="22"/>
          <w:szCs w:val="22"/>
        </w:rPr>
      </w:pPr>
      <w:r w:rsidRPr="005668F4">
        <w:rPr>
          <w:rFonts w:ascii="Palatino Linotype" w:hAnsi="Palatino Linotype" w:cs="Arial"/>
          <w:bCs/>
          <w:i/>
          <w:iCs/>
          <w:sz w:val="22"/>
          <w:szCs w:val="22"/>
        </w:rPr>
        <w:t>“</w:t>
      </w:r>
      <w:r w:rsidRPr="005668F4">
        <w:rPr>
          <w:rFonts w:ascii="Palatino Linotype" w:hAnsi="Palatino Linotype" w:cs="Arial"/>
          <w:b/>
          <w:bCs/>
          <w:i/>
          <w:iCs/>
          <w:sz w:val="22"/>
          <w:szCs w:val="22"/>
        </w:rPr>
        <w:t>FUNDAMENTACIÓN Y MOTIVACIÓN. EL ASPECTO FORMAL DE LA GARANTÍA Y SU FINALIDAD SE TRADUCEN EN EXPLICAR, JUSTIFICAR, POSIBILITAR LA DEFENSA Y COMUNICAR LA DECISIÓN. </w:t>
      </w:r>
      <w:r w:rsidRPr="005668F4">
        <w:rPr>
          <w:rFonts w:ascii="Palatino Linotype" w:hAnsi="Palatino Linotype" w:cs="Arial"/>
          <w:bCs/>
          <w:i/>
          <w:iCs/>
          <w:sz w:val="22"/>
          <w:szCs w:val="22"/>
        </w:rPr>
        <w:t>El contenido formal de la garantía de legalidad prevista en el artículo 16 constitucional relativa a la fundamentación y motivación tiene como propósito primordial y ratio que el justiciable </w:t>
      </w:r>
      <w:r w:rsidRPr="005668F4">
        <w:rPr>
          <w:rFonts w:ascii="Palatino Linotype" w:hAnsi="Palatino Linotype" w:cs="Arial"/>
          <w:bCs/>
          <w:i/>
          <w:iCs/>
          <w:sz w:val="22"/>
          <w:szCs w:val="22"/>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5668F4">
        <w:rPr>
          <w:rFonts w:ascii="Palatino Linotype" w:hAnsi="Palatino Linotype" w:cs="Arial"/>
          <w:bCs/>
          <w:i/>
          <w:iCs/>
          <w:sz w:val="22"/>
          <w:szCs w:val="22"/>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5668F4">
        <w:rPr>
          <w:rFonts w:ascii="Palatino Linotype" w:hAnsi="Palatino Linotype" w:cs="Arial"/>
          <w:bCs/>
          <w:i/>
          <w:iCs/>
          <w:sz w:val="22"/>
          <w:szCs w:val="22"/>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5668F4">
        <w:rPr>
          <w:rFonts w:ascii="Palatino Linotype" w:hAnsi="Palatino Linotype" w:cs="Arial"/>
          <w:bCs/>
          <w:i/>
          <w:iCs/>
          <w:sz w:val="22"/>
          <w:szCs w:val="22"/>
        </w:rPr>
        <w:t> del que se deduzca la relación de pertenencia lógica de los hechos al derecho invocado, que es la subsunción.”</w:t>
      </w:r>
    </w:p>
    <w:p w:rsidR="00B84C59" w:rsidRDefault="00B84C59" w:rsidP="00B84C59">
      <w:pPr>
        <w:spacing w:before="240" w:after="240"/>
        <w:ind w:left="851" w:right="900"/>
        <w:jc w:val="both"/>
        <w:rPr>
          <w:rFonts w:ascii="Palatino Linotype" w:hAnsi="Palatino Linotype" w:cs="Arial"/>
          <w:bCs/>
          <w:i/>
          <w:iCs/>
          <w:sz w:val="22"/>
          <w:szCs w:val="22"/>
        </w:rPr>
      </w:pPr>
      <w:r w:rsidRPr="005668F4">
        <w:rPr>
          <w:rFonts w:ascii="Palatino Linotype" w:hAnsi="Palatino Linotype" w:cs="Arial"/>
          <w:bCs/>
          <w:i/>
          <w:iCs/>
          <w:sz w:val="22"/>
          <w:szCs w:val="22"/>
        </w:rPr>
        <w:t>“</w:t>
      </w:r>
      <w:r w:rsidRPr="005668F4">
        <w:rPr>
          <w:rFonts w:ascii="Palatino Linotype" w:hAnsi="Palatino Linotype" w:cs="Arial"/>
          <w:b/>
          <w:bCs/>
          <w:i/>
          <w:iCs/>
          <w:sz w:val="22"/>
          <w:szCs w:val="22"/>
        </w:rPr>
        <w:t>FUNDAMENTACION Y MOTIVACION. </w:t>
      </w:r>
      <w:r w:rsidRPr="005668F4">
        <w:rPr>
          <w:rFonts w:ascii="Palatino Linotype" w:hAnsi="Palatino Linotype" w:cs="Arial"/>
          <w:bCs/>
          <w:i/>
          <w:iCs/>
          <w:sz w:val="22"/>
          <w:szCs w:val="22"/>
        </w:rPr>
        <w:t>La debida fundamentación y motivación legal, deben entenderse, por lo primero</w:t>
      </w:r>
      <w:r w:rsidRPr="005668F4">
        <w:rPr>
          <w:rFonts w:ascii="Palatino Linotype" w:hAnsi="Palatino Linotype" w:cs="Arial"/>
          <w:b/>
          <w:bCs/>
          <w:i/>
          <w:iCs/>
          <w:sz w:val="22"/>
          <w:szCs w:val="22"/>
        </w:rPr>
        <w:t xml:space="preserve">, </w:t>
      </w:r>
      <w:r w:rsidRPr="005668F4">
        <w:rPr>
          <w:rFonts w:ascii="Palatino Linotype" w:hAnsi="Palatino Linotype" w:cs="Arial"/>
          <w:bCs/>
          <w:i/>
          <w:iCs/>
          <w:sz w:val="22"/>
          <w:szCs w:val="22"/>
          <w:u w:val="single"/>
        </w:rPr>
        <w:t>la cita del precepto legal aplicable al caso, y por lo segundo, las razones, motivos o circunstancias especiales que llevaron a la autoridad a concluir que el caso particular encuadra en el supuesto previsto por la norma</w:t>
      </w:r>
      <w:r w:rsidRPr="005668F4">
        <w:rPr>
          <w:rFonts w:ascii="Palatino Linotype" w:hAnsi="Palatino Linotype" w:cs="Arial"/>
          <w:bCs/>
          <w:i/>
          <w:iCs/>
          <w:sz w:val="22"/>
          <w:szCs w:val="22"/>
        </w:rPr>
        <w:t> legal invocada como fundamento.”</w:t>
      </w:r>
    </w:p>
    <w:p w:rsidR="007E1456" w:rsidRPr="00421D12" w:rsidRDefault="00B84C59" w:rsidP="00D60320">
      <w:pPr>
        <w:spacing w:before="240" w:after="240" w:line="360" w:lineRule="auto"/>
        <w:jc w:val="both"/>
        <w:rPr>
          <w:rFonts w:ascii="Palatino Linotype" w:hAnsi="Palatino Linotype" w:cs="Arial"/>
        </w:rPr>
      </w:pPr>
      <w:r>
        <w:rPr>
          <w:rFonts w:ascii="Palatino Linotype" w:hAnsi="Palatino Linotype" w:cs="Arial"/>
        </w:rPr>
        <w:t>Por tanto, se dejan a salvo los derechos de</w:t>
      </w:r>
      <w:r w:rsidR="00D60320">
        <w:rPr>
          <w:rFonts w:ascii="Palatino Linotype" w:hAnsi="Palatino Linotype" w:cs="Arial"/>
        </w:rPr>
        <w:t xml:space="preserve"> </w:t>
      </w:r>
      <w:r>
        <w:rPr>
          <w:rFonts w:ascii="Palatino Linotype" w:hAnsi="Palatino Linotype" w:cs="Arial"/>
        </w:rPr>
        <w:t>l</w:t>
      </w:r>
      <w:r w:rsidR="00D60320">
        <w:rPr>
          <w:rFonts w:ascii="Palatino Linotype" w:hAnsi="Palatino Linotype" w:cs="Arial"/>
        </w:rPr>
        <w:t>a</w:t>
      </w:r>
      <w:r>
        <w:rPr>
          <w:rFonts w:ascii="Palatino Linotype" w:hAnsi="Palatino Linotype" w:cs="Arial"/>
        </w:rPr>
        <w:t xml:space="preserve"> particular para que formule las solicitudes de acceso a la información pública que resulten de su interés, ante los Sujetos Obligados que estime convenientes.</w:t>
      </w:r>
    </w:p>
    <w:p w:rsidR="009D5CF7" w:rsidRPr="009D5CF7" w:rsidRDefault="009D5CF7" w:rsidP="00421D12">
      <w:pPr>
        <w:spacing w:before="100" w:beforeAutospacing="1" w:after="100" w:afterAutospacing="1" w:line="360" w:lineRule="auto"/>
        <w:jc w:val="both"/>
        <w:rPr>
          <w:rFonts w:ascii="Palatino Linotype" w:eastAsia="Times New Roman" w:hAnsi="Palatino Linotype" w:cs="Arial"/>
          <w:szCs w:val="22"/>
          <w:lang w:val="es-MX" w:eastAsia="en-US"/>
        </w:rPr>
      </w:pPr>
      <w:r>
        <w:rPr>
          <w:rFonts w:ascii="Palatino Linotype" w:eastAsia="Times New Roman" w:hAnsi="Palatino Linotype" w:cs="Arial"/>
          <w:szCs w:val="22"/>
          <w:lang w:val="es-MX" w:eastAsia="en-US"/>
        </w:rPr>
        <w:lastRenderedPageBreak/>
        <w:t>Finalmente, respecto a la parte de los motivos de inconformidad en donde menciona la parte recurrente “…</w:t>
      </w:r>
      <w:r w:rsidRPr="009D5CF7">
        <w:rPr>
          <w:rFonts w:ascii="Palatino Linotype" w:eastAsia="Times New Roman" w:hAnsi="Palatino Linotype" w:cs="Arial"/>
          <w:i/>
          <w:szCs w:val="22"/>
          <w:lang w:eastAsia="en-US"/>
        </w:rPr>
        <w:t>Cabe señalar que presenté dos solicitudes en los mismo términos y en ambas se les dio igual tratamiento, es decir, se notificó la no competencia fuera de tiempo, por lo que solicito se le sancione ante la evidente negligencia por parte del personal que atiende las solicitudes de acceso a la información.” (Sic.)</w:t>
      </w:r>
      <w:r>
        <w:rPr>
          <w:rFonts w:ascii="Palatino Linotype" w:eastAsia="Times New Roman" w:hAnsi="Palatino Linotype" w:cs="Arial"/>
          <w:i/>
          <w:szCs w:val="22"/>
          <w:lang w:eastAsia="en-US"/>
        </w:rPr>
        <w:t xml:space="preserve">, </w:t>
      </w:r>
      <w:r>
        <w:rPr>
          <w:rFonts w:ascii="Palatino Linotype" w:eastAsia="Times New Roman" w:hAnsi="Palatino Linotype" w:cs="Arial"/>
          <w:szCs w:val="22"/>
          <w:lang w:eastAsia="en-US"/>
        </w:rPr>
        <w:t>es oportuno mencionar que este Órgano Garante no advierte que se haya realizado una violación dolosa al derecho accionado por el particular, ya que si bien el Sujeto Obligado no se declaró incompetente en los días establecidos en la legislación, respondió su requerimiento y al fijarse la Litis en relación a la incompetencia este Instituto emitió pronunciamiento.</w:t>
      </w:r>
    </w:p>
    <w:p w:rsidR="00421D12" w:rsidRPr="00421D12" w:rsidRDefault="00421D12" w:rsidP="00421D12">
      <w:pPr>
        <w:spacing w:before="100" w:beforeAutospacing="1" w:after="100" w:afterAutospacing="1" w:line="360" w:lineRule="auto"/>
        <w:jc w:val="both"/>
        <w:rPr>
          <w:rFonts w:ascii="Palatino Linotype" w:eastAsia="Times New Roman" w:hAnsi="Palatino Linotype" w:cs="Arial"/>
          <w:szCs w:val="22"/>
          <w:lang w:val="es-MX" w:eastAsia="en-US"/>
        </w:rPr>
      </w:pPr>
      <w:r w:rsidRPr="00421D12">
        <w:rPr>
          <w:rFonts w:ascii="Palatino Linotype" w:eastAsia="Times New Roman" w:hAnsi="Palatino Linotype" w:cs="Arial"/>
          <w:szCs w:val="22"/>
          <w:lang w:val="es-MX" w:eastAsia="en-US"/>
        </w:rPr>
        <w:t xml:space="preserve">Por lo anteriormente mencionado, con fundamento en lo prescrito en los artículos 5 párrafos </w:t>
      </w:r>
      <w:r w:rsidRPr="00421D12">
        <w:rPr>
          <w:rFonts w:ascii="Palatino Linotype" w:hAnsi="Palatino Linotype" w:cs="Arial"/>
        </w:rPr>
        <w:t>vigésimo, vigésimo primero</w:t>
      </w:r>
      <w:r w:rsidRPr="00421D12">
        <w:rPr>
          <w:rFonts w:ascii="Palatino Linotype" w:eastAsia="Times New Roman" w:hAnsi="Palatino Linotype" w:cs="Arial"/>
          <w:szCs w:val="22"/>
          <w:lang w:val="es-MX" w:eastAsia="en-US"/>
        </w:rPr>
        <w:t xml:space="preserve"> y vigésimo segundo de la Constitución Política del Estado Libre y Soberano de México; 2, fracción II; 29, 36 fracciones I y II; 176, 178, 181, 185 de la Ley de Transparencia y Acceso a la Información Pública del Estado de México y Municipios, este Pleno:</w:t>
      </w:r>
    </w:p>
    <w:p w:rsidR="00421D12" w:rsidRPr="00421D12" w:rsidRDefault="00421D12" w:rsidP="00421D12">
      <w:pPr>
        <w:spacing w:before="240" w:after="240" w:line="360" w:lineRule="auto"/>
        <w:jc w:val="center"/>
        <w:rPr>
          <w:rFonts w:ascii="Palatino Linotype" w:hAnsi="Palatino Linotype" w:cs="Arial"/>
          <w:b/>
          <w:sz w:val="28"/>
        </w:rPr>
      </w:pPr>
      <w:r w:rsidRPr="00421D12">
        <w:rPr>
          <w:rFonts w:ascii="Palatino Linotype" w:hAnsi="Palatino Linotype" w:cs="Arial"/>
          <w:b/>
          <w:sz w:val="28"/>
        </w:rPr>
        <w:t xml:space="preserve">III. </w:t>
      </w:r>
      <w:r w:rsidRPr="00421D12">
        <w:rPr>
          <w:rFonts w:ascii="Palatino Linotype" w:hAnsi="Palatino Linotype" w:cs="Arial"/>
          <w:b/>
          <w:sz w:val="28"/>
        </w:rPr>
        <w:tab/>
        <w:t>R E S U E L V E:</w:t>
      </w:r>
    </w:p>
    <w:p w:rsidR="00421D12" w:rsidRPr="00421D12" w:rsidRDefault="00421D12" w:rsidP="00421D12">
      <w:pPr>
        <w:spacing w:before="240" w:after="240" w:line="360" w:lineRule="auto"/>
        <w:jc w:val="both"/>
        <w:rPr>
          <w:rFonts w:ascii="Palatino Linotype" w:eastAsia="Times New Roman" w:hAnsi="Palatino Linotype" w:cs="Arial"/>
        </w:rPr>
      </w:pPr>
      <w:r w:rsidRPr="00421D12">
        <w:rPr>
          <w:rFonts w:ascii="Palatino Linotype" w:eastAsia="Times New Roman" w:hAnsi="Palatino Linotype" w:cs="Arial"/>
          <w:b/>
          <w:bCs/>
          <w:sz w:val="28"/>
        </w:rPr>
        <w:t>PRIMERO</w:t>
      </w:r>
      <w:r w:rsidRPr="00421D12">
        <w:rPr>
          <w:rFonts w:ascii="Palatino Linotype" w:eastAsia="Times New Roman" w:hAnsi="Palatino Linotype" w:cs="Arial"/>
        </w:rPr>
        <w:t xml:space="preserve">. Resultan </w:t>
      </w:r>
      <w:r w:rsidR="009D5CF7">
        <w:rPr>
          <w:rFonts w:ascii="Palatino Linotype" w:eastAsia="Times New Roman" w:hAnsi="Palatino Linotype" w:cs="Arial"/>
        </w:rPr>
        <w:t xml:space="preserve">parcialmente </w:t>
      </w:r>
      <w:r w:rsidRPr="00421D12">
        <w:rPr>
          <w:rFonts w:ascii="Palatino Linotype" w:eastAsia="Times New Roman" w:hAnsi="Palatino Linotype" w:cs="Arial"/>
        </w:rPr>
        <w:t xml:space="preserve">fundadas las razones o motivos de inconformidad hechos valer por la parte recurrente, por lo que en términos del considerando </w:t>
      </w:r>
      <w:r w:rsidRPr="00421D12">
        <w:rPr>
          <w:rFonts w:ascii="Palatino Linotype" w:eastAsia="Times New Roman" w:hAnsi="Palatino Linotype" w:cs="Arial"/>
          <w:b/>
        </w:rPr>
        <w:t>CUARTO,</w:t>
      </w:r>
      <w:r w:rsidRPr="00421D12">
        <w:rPr>
          <w:rFonts w:ascii="Palatino Linotype" w:eastAsia="Times New Roman" w:hAnsi="Palatino Linotype" w:cs="Arial"/>
        </w:rPr>
        <w:t xml:space="preserve"> se </w:t>
      </w:r>
      <w:r w:rsidRPr="00421D12">
        <w:rPr>
          <w:rFonts w:ascii="Palatino Linotype" w:eastAsia="Times New Roman" w:hAnsi="Palatino Linotype" w:cs="Arial"/>
          <w:b/>
        </w:rPr>
        <w:t xml:space="preserve">MODIFICAN </w:t>
      </w:r>
      <w:r w:rsidRPr="00421D12">
        <w:rPr>
          <w:rFonts w:ascii="Palatino Linotype" w:eastAsia="Times New Roman" w:hAnsi="Palatino Linotype" w:cs="Arial"/>
        </w:rPr>
        <w:t xml:space="preserve">las respuestas de los recursos de revisión </w:t>
      </w:r>
      <w:r>
        <w:rPr>
          <w:rFonts w:ascii="Palatino Linotype" w:hAnsi="Palatino Linotype" w:cs="Arial"/>
          <w:b/>
          <w:bCs/>
          <w:sz w:val="22"/>
          <w:lang w:eastAsia="es-MX"/>
        </w:rPr>
        <w:t xml:space="preserve">03076/INFOEM/IP/RR/2018 </w:t>
      </w:r>
      <w:r w:rsidRPr="00421D12">
        <w:rPr>
          <w:rFonts w:ascii="Palatino Linotype" w:hAnsi="Palatino Linotype" w:cs="Arial"/>
          <w:bCs/>
          <w:sz w:val="22"/>
          <w:lang w:eastAsia="es-MX"/>
        </w:rPr>
        <w:t xml:space="preserve">y </w:t>
      </w:r>
      <w:r>
        <w:rPr>
          <w:rFonts w:ascii="Palatino Linotype" w:hAnsi="Palatino Linotype" w:cs="Arial"/>
          <w:b/>
          <w:bCs/>
          <w:sz w:val="22"/>
          <w:lang w:eastAsia="es-MX"/>
        </w:rPr>
        <w:t>03077</w:t>
      </w:r>
      <w:r w:rsidRPr="00421D12">
        <w:rPr>
          <w:rFonts w:ascii="Palatino Linotype" w:hAnsi="Palatino Linotype" w:cs="Arial"/>
          <w:b/>
          <w:bCs/>
          <w:sz w:val="22"/>
          <w:lang w:eastAsia="es-MX"/>
        </w:rPr>
        <w:t xml:space="preserve">/INFOEM/IP/RR/2018 </w:t>
      </w:r>
      <w:r w:rsidRPr="00421D12">
        <w:rPr>
          <w:rFonts w:ascii="Palatino Linotype" w:eastAsia="Times New Roman" w:hAnsi="Palatino Linotype" w:cs="Arial"/>
        </w:rPr>
        <w:t>del Sujeto Obligado.</w:t>
      </w:r>
    </w:p>
    <w:p w:rsidR="00421D12" w:rsidRDefault="00421D12" w:rsidP="00B84C59">
      <w:pPr>
        <w:spacing w:before="240" w:after="240" w:line="360" w:lineRule="auto"/>
        <w:jc w:val="both"/>
        <w:rPr>
          <w:rFonts w:ascii="Palatino Linotype" w:hAnsi="Palatino Linotype" w:cs="Segoe UI"/>
          <w:i/>
        </w:rPr>
      </w:pPr>
      <w:r w:rsidRPr="00421D12">
        <w:rPr>
          <w:rFonts w:ascii="Palatino Linotype" w:eastAsia="Times New Roman" w:hAnsi="Palatino Linotype" w:cs="Arial"/>
          <w:b/>
          <w:bCs/>
          <w:sz w:val="28"/>
        </w:rPr>
        <w:t>SEGUNDO</w:t>
      </w:r>
      <w:r w:rsidRPr="00421D12">
        <w:rPr>
          <w:rFonts w:ascii="Palatino Linotype" w:eastAsia="Times New Roman" w:hAnsi="Palatino Linotype" w:cs="Arial"/>
          <w:b/>
          <w:bCs/>
        </w:rPr>
        <w:t xml:space="preserve">. </w:t>
      </w:r>
      <w:r w:rsidRPr="00421D12">
        <w:rPr>
          <w:rFonts w:ascii="Palatino Linotype" w:eastAsia="Times New Roman" w:hAnsi="Palatino Linotype" w:cs="Arial"/>
        </w:rPr>
        <w:t xml:space="preserve">Se </w:t>
      </w:r>
      <w:r w:rsidRPr="00421D12">
        <w:rPr>
          <w:rFonts w:ascii="Palatino Linotype" w:eastAsia="Times New Roman" w:hAnsi="Palatino Linotype" w:cs="Arial"/>
          <w:b/>
          <w:bCs/>
        </w:rPr>
        <w:t>ORDENA</w:t>
      </w:r>
      <w:r w:rsidRPr="00421D12">
        <w:rPr>
          <w:rFonts w:ascii="Palatino Linotype" w:eastAsia="Times New Roman" w:hAnsi="Palatino Linotype" w:cs="Arial"/>
        </w:rPr>
        <w:t xml:space="preserve"> a</w:t>
      </w:r>
      <w:r>
        <w:rPr>
          <w:rFonts w:ascii="Palatino Linotype" w:eastAsia="Times New Roman" w:hAnsi="Palatino Linotype" w:cs="Arial"/>
        </w:rPr>
        <w:t xml:space="preserve"> la</w:t>
      </w:r>
      <w:r w:rsidRPr="00421D12">
        <w:rPr>
          <w:rFonts w:ascii="Palatino Linotype" w:eastAsia="Times New Roman" w:hAnsi="Palatino Linotype" w:cs="Arial"/>
        </w:rPr>
        <w:t xml:space="preserve"> </w:t>
      </w:r>
      <w:r>
        <w:rPr>
          <w:rFonts w:ascii="Palatino Linotype" w:eastAsia="Times New Roman" w:hAnsi="Palatino Linotype" w:cs="Arial"/>
        </w:rPr>
        <w:t>Secretaría de Salud</w:t>
      </w:r>
      <w:r w:rsidRPr="00421D12">
        <w:rPr>
          <w:rFonts w:ascii="Palatino Linotype" w:eastAsia="Times New Roman" w:hAnsi="Palatino Linotype" w:cs="Arial"/>
        </w:rPr>
        <w:t xml:space="preserve">, </w:t>
      </w:r>
      <w:r w:rsidRPr="00421D12">
        <w:rPr>
          <w:rFonts w:ascii="Palatino Linotype" w:eastAsia="Times New Roman" w:hAnsi="Palatino Linotype" w:cs="Arial"/>
          <w:bCs/>
        </w:rPr>
        <w:t>atienda las solicitudes de información</w:t>
      </w:r>
      <w:r w:rsidRPr="00421D12">
        <w:rPr>
          <w:rFonts w:ascii="Palatino Linotype" w:eastAsia="Times New Roman" w:hAnsi="Palatino Linotype" w:cs="Arial"/>
        </w:rPr>
        <w:t xml:space="preserve"> </w:t>
      </w:r>
      <w:r>
        <w:rPr>
          <w:rFonts w:ascii="Palatino Linotype" w:hAnsi="Palatino Linotype" w:cs="Arial"/>
          <w:b/>
        </w:rPr>
        <w:t xml:space="preserve">00244/SSALUD/IP/2018 </w:t>
      </w:r>
      <w:r w:rsidRPr="00421D12">
        <w:rPr>
          <w:rFonts w:ascii="Palatino Linotype" w:hAnsi="Palatino Linotype" w:cs="Arial"/>
        </w:rPr>
        <w:t>y</w:t>
      </w:r>
      <w:r>
        <w:rPr>
          <w:rFonts w:ascii="Palatino Linotype" w:hAnsi="Palatino Linotype" w:cs="Arial"/>
          <w:b/>
        </w:rPr>
        <w:t xml:space="preserve"> 00245/SSALUD</w:t>
      </w:r>
      <w:r w:rsidRPr="00421D12">
        <w:rPr>
          <w:rFonts w:ascii="Palatino Linotype" w:hAnsi="Palatino Linotype" w:cs="Arial"/>
          <w:b/>
        </w:rPr>
        <w:t>/IP/2018</w:t>
      </w:r>
      <w:r w:rsidRPr="00421D12">
        <w:rPr>
          <w:rFonts w:ascii="Palatino Linotype" w:eastAsia="Times New Roman" w:hAnsi="Palatino Linotype" w:cs="Arial"/>
        </w:rPr>
        <w:t xml:space="preserve">, mediante la entrega </w:t>
      </w:r>
      <w:r w:rsidRPr="00421D12">
        <w:rPr>
          <w:rFonts w:ascii="Palatino Linotype" w:eastAsia="Times New Roman" w:hAnsi="Palatino Linotype" w:cs="Arial"/>
        </w:rPr>
        <w:lastRenderedPageBreak/>
        <w:t>vía SAIMEX</w:t>
      </w:r>
      <w:r w:rsidRPr="00421D12">
        <w:rPr>
          <w:rFonts w:ascii="Palatino Linotype" w:eastAsia="Times New Roman" w:hAnsi="Palatino Linotype" w:cs="Arial"/>
          <w:bCs/>
        </w:rPr>
        <w:t xml:space="preserve">, </w:t>
      </w:r>
      <w:r w:rsidRPr="00421D12">
        <w:rPr>
          <w:rFonts w:ascii="Palatino Linotype" w:eastAsia="Times New Roman" w:hAnsi="Palatino Linotype" w:cs="Arial"/>
        </w:rPr>
        <w:t xml:space="preserve">en términos del considerando </w:t>
      </w:r>
      <w:r w:rsidRPr="00421D12">
        <w:rPr>
          <w:rFonts w:ascii="Palatino Linotype" w:eastAsia="Times New Roman" w:hAnsi="Palatino Linotype" w:cs="Arial"/>
          <w:b/>
        </w:rPr>
        <w:t xml:space="preserve">CUARTO </w:t>
      </w:r>
      <w:r w:rsidRPr="00421D12">
        <w:rPr>
          <w:rFonts w:ascii="Palatino Linotype" w:eastAsia="Times New Roman" w:hAnsi="Palatino Linotype" w:cs="Arial"/>
        </w:rPr>
        <w:t>de esta resolución, de</w:t>
      </w:r>
      <w:r w:rsidR="007E1456">
        <w:rPr>
          <w:rFonts w:ascii="Palatino Linotype" w:eastAsia="Times New Roman" w:hAnsi="Palatino Linotype" w:cs="Arial"/>
        </w:rPr>
        <w:t xml:space="preserve"> lo siguiente</w:t>
      </w:r>
      <w:r w:rsidRPr="00421D12">
        <w:rPr>
          <w:rFonts w:ascii="Palatino Linotype" w:eastAsia="Times New Roman" w:hAnsi="Palatino Linotype" w:cs="Arial"/>
        </w:rPr>
        <w:t>:</w:t>
      </w:r>
      <w:r w:rsidR="00B84C59" w:rsidRPr="00421D12">
        <w:rPr>
          <w:rFonts w:ascii="Palatino Linotype" w:hAnsi="Palatino Linotype" w:cs="Segoe UI"/>
          <w:i/>
        </w:rPr>
        <w:t xml:space="preserve"> </w:t>
      </w:r>
    </w:p>
    <w:p w:rsidR="00B84C59" w:rsidRPr="00AE160A" w:rsidRDefault="00421D12" w:rsidP="00B84C59">
      <w:pPr>
        <w:pStyle w:val="Prrafodelista"/>
        <w:numPr>
          <w:ilvl w:val="0"/>
          <w:numId w:val="6"/>
        </w:numPr>
        <w:spacing w:before="240" w:after="240" w:line="360" w:lineRule="auto"/>
        <w:jc w:val="both"/>
        <w:rPr>
          <w:rFonts w:ascii="Palatino Linotype" w:hAnsi="Palatino Linotype" w:cs="Segoe UI"/>
        </w:rPr>
      </w:pPr>
      <w:r w:rsidRPr="00B84C59">
        <w:rPr>
          <w:rFonts w:ascii="Palatino Linotype" w:hAnsi="Palatino Linotype" w:cs="Segoe UI"/>
        </w:rPr>
        <w:t xml:space="preserve">El </w:t>
      </w:r>
      <w:r w:rsidR="00B84C59">
        <w:rPr>
          <w:rFonts w:ascii="Palatino Linotype" w:hAnsi="Palatino Linotype" w:cs="Segoe UI"/>
        </w:rPr>
        <w:t xml:space="preserve">acuerdo </w:t>
      </w:r>
      <w:r w:rsidR="00B84C59" w:rsidRPr="00B84C59">
        <w:rPr>
          <w:rFonts w:ascii="Palatino Linotype" w:hAnsi="Palatino Linotype" w:cs="Segoe UI"/>
        </w:rPr>
        <w:t xml:space="preserve">de declaratoria de incompetencia emitido por su Comité de Transparencia respecto </w:t>
      </w:r>
      <w:r w:rsidR="00AE160A">
        <w:rPr>
          <w:rFonts w:ascii="Palatino Linotype" w:hAnsi="Palatino Linotype" w:cs="Segoe UI"/>
        </w:rPr>
        <w:t xml:space="preserve">a la información requerida en las solicitudes </w:t>
      </w:r>
      <w:r w:rsidR="00AE160A" w:rsidRPr="00AE160A">
        <w:rPr>
          <w:rFonts w:ascii="Palatino Linotype" w:hAnsi="Palatino Linotype" w:cs="Segoe UI"/>
        </w:rPr>
        <w:t>00244/SSALUD/IP/2018 y 00245/SSALUD/IP/2018.</w:t>
      </w:r>
    </w:p>
    <w:p w:rsidR="00421D12" w:rsidRPr="00421D12" w:rsidRDefault="00421D12" w:rsidP="00421D12">
      <w:pPr>
        <w:spacing w:before="240" w:after="240" w:line="360" w:lineRule="auto"/>
        <w:jc w:val="both"/>
        <w:rPr>
          <w:rFonts w:ascii="Palatino Linotype" w:eastAsia="Times New Roman" w:hAnsi="Palatino Linotype" w:cs="Arial"/>
          <w:lang w:val="es-MX" w:eastAsia="en-US"/>
        </w:rPr>
      </w:pPr>
      <w:r w:rsidRPr="00421D12">
        <w:rPr>
          <w:rFonts w:ascii="Palatino Linotype" w:eastAsia="Times New Roman" w:hAnsi="Palatino Linotype" w:cs="Arial"/>
          <w:b/>
          <w:bCs/>
          <w:sz w:val="28"/>
          <w:lang w:val="es-MX" w:eastAsia="en-US"/>
        </w:rPr>
        <w:t>TERCERO</w:t>
      </w:r>
      <w:r w:rsidRPr="00421D12">
        <w:rPr>
          <w:rFonts w:ascii="Palatino Linotype" w:eastAsia="Times New Roman" w:hAnsi="Palatino Linotype" w:cs="Arial"/>
          <w:b/>
          <w:bCs/>
          <w:lang w:val="es-MX" w:eastAsia="en-US"/>
        </w:rPr>
        <w:t>. NOTIFÍQUESE</w:t>
      </w:r>
      <w:r w:rsidRPr="00421D12">
        <w:rPr>
          <w:rFonts w:ascii="Palatino Linotype" w:eastAsia="Times New Roman" w:hAnsi="Palatino Linotype" w:cs="Arial"/>
          <w:lang w:val="es-MX" w:eastAsia="en-US"/>
        </w:rPr>
        <w:t xml:space="preserve"> la presente resolución </w:t>
      </w:r>
      <w:r w:rsidRPr="00421D12">
        <w:rPr>
          <w:rFonts w:ascii="Palatino Linotype" w:eastAsia="Times New Roman" w:hAnsi="Palatino Linotype" w:cs="Arial"/>
          <w:bCs/>
          <w:lang w:val="es-MX" w:eastAsia="en-US"/>
        </w:rPr>
        <w:t>al Titular de la Unidad de Transparencia del</w:t>
      </w:r>
      <w:r w:rsidRPr="00421D12">
        <w:rPr>
          <w:rFonts w:ascii="Palatino Linotype" w:eastAsia="Times New Roman" w:hAnsi="Palatino Linotype" w:cs="Arial"/>
          <w:b/>
          <w:bCs/>
          <w:lang w:val="es-MX" w:eastAsia="en-US"/>
        </w:rPr>
        <w:t> </w:t>
      </w:r>
      <w:r w:rsidRPr="00421D12">
        <w:rPr>
          <w:rFonts w:ascii="Palatino Linotype" w:eastAsia="Times New Roman" w:hAnsi="Palatino Linotype" w:cs="Arial"/>
          <w:bCs/>
          <w:lang w:val="es-MX" w:eastAsia="en-US"/>
        </w:rPr>
        <w:t xml:space="preserve">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w:t>
      </w:r>
      <w:bookmarkStart w:id="0" w:name="_GoBack"/>
      <w:bookmarkEnd w:id="0"/>
      <w:r w:rsidRPr="00421D12">
        <w:rPr>
          <w:rFonts w:ascii="Palatino Linotype" w:eastAsia="Times New Roman" w:hAnsi="Palatino Linotype" w:cs="Arial"/>
          <w:bCs/>
          <w:lang w:val="es-MX" w:eastAsia="en-US"/>
        </w:rPr>
        <w:t>el cumplimiento de la misma</w:t>
      </w:r>
      <w:r w:rsidRPr="00421D12">
        <w:rPr>
          <w:rFonts w:ascii="Palatino Linotype" w:eastAsia="Times New Roman" w:hAnsi="Palatino Linotype" w:cs="Arial"/>
          <w:lang w:val="es-MX" w:eastAsia="en-US"/>
        </w:rPr>
        <w:t xml:space="preserve"> tal y como lo disponen los artículos 198 y 199 de la citada ley. </w:t>
      </w:r>
    </w:p>
    <w:p w:rsidR="00421D12" w:rsidRPr="00421D12" w:rsidRDefault="00421D12" w:rsidP="00421D12">
      <w:pPr>
        <w:spacing w:before="240" w:after="240" w:line="360" w:lineRule="auto"/>
        <w:jc w:val="both"/>
        <w:rPr>
          <w:rFonts w:ascii="Palatino Linotype" w:eastAsiaTheme="minorHAnsi" w:hAnsi="Palatino Linotype" w:cs="Arial"/>
          <w:lang w:val="es-MX" w:eastAsia="en-US"/>
        </w:rPr>
      </w:pPr>
      <w:r w:rsidRPr="00421D12">
        <w:rPr>
          <w:rFonts w:ascii="Palatino Linotype" w:eastAsia="Times New Roman" w:hAnsi="Palatino Linotype" w:cs="Arial"/>
          <w:b/>
          <w:sz w:val="28"/>
          <w:lang w:val="es-MX" w:eastAsia="en-US"/>
        </w:rPr>
        <w:t>CUARTO.</w:t>
      </w:r>
      <w:r w:rsidRPr="00421D12">
        <w:rPr>
          <w:rFonts w:ascii="Palatino Linotype" w:eastAsia="Times New Roman" w:hAnsi="Palatino Linotype" w:cs="Arial"/>
          <w:b/>
          <w:lang w:val="es-MX" w:eastAsia="en-US"/>
        </w:rPr>
        <w:t xml:space="preserve"> </w:t>
      </w:r>
      <w:r w:rsidRPr="00421D12">
        <w:rPr>
          <w:rFonts w:ascii="Palatino Linotype" w:eastAsiaTheme="minorHAnsi" w:hAnsi="Palatino Linotype" w:cs="Arial"/>
          <w:b/>
          <w:lang w:val="es-MX" w:eastAsia="en-US"/>
        </w:rPr>
        <w:t>NOTIFÍQUESE</w:t>
      </w:r>
      <w:r w:rsidRPr="00421D12">
        <w:rPr>
          <w:rFonts w:ascii="Palatino Linotype" w:eastAsiaTheme="minorHAnsi" w:hAnsi="Palatino Linotype" w:cs="Arial"/>
          <w:lang w:val="es-MX" w:eastAsia="en-US"/>
        </w:rPr>
        <w:t xml:space="preserve"> </w:t>
      </w:r>
      <w:r w:rsidRPr="00421D12">
        <w:rPr>
          <w:rFonts w:ascii="Palatino Linotype" w:eastAsiaTheme="minorHAnsi" w:hAnsi="Palatino Linotype" w:cs="Arial"/>
          <w:bCs/>
          <w:lang w:val="es-MX" w:eastAsia="en-US"/>
        </w:rPr>
        <w:t>al recurrente</w:t>
      </w:r>
      <w:r w:rsidRPr="00421D12">
        <w:rPr>
          <w:rFonts w:ascii="Palatino Linotype" w:eastAsiaTheme="minorHAnsi" w:hAnsi="Palatino Linotype" w:cs="Arial"/>
          <w:lang w:val="es-MX" w:eastAsia="en-US"/>
        </w:rPr>
        <w:t xml:space="preserve"> </w:t>
      </w:r>
      <w:r w:rsidRPr="00421D12">
        <w:rPr>
          <w:rFonts w:ascii="Palatino Linotype" w:eastAsiaTheme="minorHAnsi" w:hAnsi="Palatino Linotype" w:cs="Arial"/>
          <w:bCs/>
          <w:lang w:val="es-MX" w:eastAsia="en-US"/>
        </w:rPr>
        <w:t>la presente resolución; así como, que podrá impugnarla vía Juicio de Amparo en los términos de las leyes aplicables, de conformidad con lo establecido en el artículo 196 de la Ley de Transparencia y Acceso a la Información Pública del Estado de México y Municipios.</w:t>
      </w:r>
    </w:p>
    <w:p w:rsidR="00421D12" w:rsidRPr="00421D12" w:rsidRDefault="00421D12" w:rsidP="00421D12">
      <w:pPr>
        <w:spacing w:before="100" w:beforeAutospacing="1" w:after="100" w:afterAutospacing="1" w:line="360" w:lineRule="auto"/>
        <w:jc w:val="both"/>
        <w:rPr>
          <w:rFonts w:ascii="Palatino Linotype" w:hAnsi="Palatino Linotype" w:cs="Arial"/>
          <w:szCs w:val="25"/>
        </w:rPr>
      </w:pPr>
      <w:r w:rsidRPr="00421D12">
        <w:rPr>
          <w:rFonts w:ascii="Palatino Linotype" w:hAnsi="Palatino Linotype" w:cs="Arial"/>
          <w:szCs w:val="25"/>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w:t>
      </w:r>
      <w:r w:rsidRPr="00421D12">
        <w:rPr>
          <w:rFonts w:ascii="Palatino Linotype" w:hAnsi="Palatino Linotype" w:cs="Arial"/>
          <w:szCs w:val="25"/>
        </w:rPr>
        <w:lastRenderedPageBreak/>
        <w:t>HERNÁNDEZ, JAVIER MARTÍNEZ CRUZ Y LUIS GUSTAVO PARRA NORIEGA</w:t>
      </w:r>
      <w:r w:rsidR="008D2A60">
        <w:rPr>
          <w:rFonts w:ascii="Palatino Linotype" w:hAnsi="Palatino Linotype" w:cs="Arial"/>
          <w:szCs w:val="25"/>
        </w:rPr>
        <w:t xml:space="preserve"> EMITIENDO VOTO PARTICULAR</w:t>
      </w:r>
      <w:r w:rsidRPr="00421D12">
        <w:rPr>
          <w:rFonts w:ascii="Palatino Linotype" w:hAnsi="Palatino Linotype" w:cs="Arial"/>
          <w:szCs w:val="25"/>
        </w:rPr>
        <w:t xml:space="preserve">, EN LA TRIGÉSIMA </w:t>
      </w:r>
      <w:r w:rsidR="007E1456">
        <w:rPr>
          <w:rFonts w:ascii="Palatino Linotype" w:hAnsi="Palatino Linotype" w:cs="Arial"/>
          <w:szCs w:val="25"/>
        </w:rPr>
        <w:t>SÉPTIMA</w:t>
      </w:r>
      <w:r w:rsidRPr="00421D12">
        <w:rPr>
          <w:rFonts w:ascii="Palatino Linotype" w:hAnsi="Palatino Linotype" w:cs="Arial"/>
          <w:szCs w:val="25"/>
        </w:rPr>
        <w:t xml:space="preserve"> SESIÓN ORDINARIA CELEBRADA EL DÍA </w:t>
      </w:r>
      <w:r w:rsidR="007E1456">
        <w:rPr>
          <w:rFonts w:ascii="Palatino Linotype" w:hAnsi="Palatino Linotype" w:cs="Arial"/>
          <w:szCs w:val="25"/>
        </w:rPr>
        <w:t>DIEZ</w:t>
      </w:r>
      <w:r w:rsidRPr="00421D12">
        <w:rPr>
          <w:rFonts w:ascii="Palatino Linotype" w:hAnsi="Palatino Linotype" w:cs="Arial"/>
          <w:szCs w:val="25"/>
        </w:rPr>
        <w:t xml:space="preserve"> DE OCTUBRE DE DOS MIL DIECIOCHO, ANTE EL SECRETARIO TÉCNICO DEL PLENO, ALEXIS TAPIA RAMÍREZ. </w:t>
      </w:r>
    </w:p>
    <w:p w:rsidR="00421D12" w:rsidRDefault="00421D12" w:rsidP="00421D12">
      <w:pPr>
        <w:spacing w:before="100" w:beforeAutospacing="1" w:after="100" w:afterAutospacing="1" w:line="360" w:lineRule="auto"/>
        <w:jc w:val="both"/>
        <w:rPr>
          <w:rFonts w:ascii="Palatino Linotype" w:hAnsi="Palatino Linotype" w:cs="Arial"/>
          <w:szCs w:val="25"/>
        </w:rPr>
      </w:pPr>
    </w:p>
    <w:p w:rsidR="00AE160A" w:rsidRPr="00421D12" w:rsidRDefault="00AE160A" w:rsidP="00421D12">
      <w:pPr>
        <w:spacing w:before="100" w:beforeAutospacing="1" w:after="100" w:afterAutospacing="1" w:line="360" w:lineRule="auto"/>
        <w:jc w:val="both"/>
        <w:rPr>
          <w:rFonts w:ascii="Palatino Linotype" w:hAnsi="Palatino Linotype" w:cs="Arial"/>
          <w:szCs w:val="25"/>
        </w:rPr>
      </w:pPr>
    </w:p>
    <w:p w:rsidR="00421D12" w:rsidRPr="00421D12" w:rsidRDefault="00421D12" w:rsidP="00421D12">
      <w:pPr>
        <w:spacing w:before="100" w:beforeAutospacing="1" w:after="100" w:afterAutospacing="1" w:line="360" w:lineRule="auto"/>
        <w:jc w:val="both"/>
        <w:rPr>
          <w:rFonts w:ascii="Palatino Linotype" w:hAnsi="Palatino Linotype" w:cs="Arial"/>
          <w:szCs w:val="25"/>
        </w:rPr>
      </w:pPr>
    </w:p>
    <w:tbl>
      <w:tblPr>
        <w:tblW w:w="5000" w:type="pct"/>
        <w:jc w:val="center"/>
        <w:tblLook w:val="04A0" w:firstRow="1" w:lastRow="0" w:firstColumn="1" w:lastColumn="0" w:noHBand="0" w:noVBand="1"/>
      </w:tblPr>
      <w:tblGrid>
        <w:gridCol w:w="4216"/>
        <w:gridCol w:w="4622"/>
      </w:tblGrid>
      <w:tr w:rsidR="00421D12" w:rsidRPr="00421D12" w:rsidTr="00557E13">
        <w:trPr>
          <w:trHeight w:val="924"/>
          <w:jc w:val="center"/>
        </w:trPr>
        <w:tc>
          <w:tcPr>
            <w:tcW w:w="5000" w:type="pct"/>
            <w:gridSpan w:val="2"/>
          </w:tcPr>
          <w:p w:rsidR="00421D12" w:rsidRPr="00421D12" w:rsidRDefault="00421D12" w:rsidP="00421D12">
            <w:pPr>
              <w:spacing w:line="252" w:lineRule="auto"/>
              <w:jc w:val="center"/>
              <w:rPr>
                <w:rFonts w:ascii="Palatino Linotype" w:hAnsi="Palatino Linotype" w:cs="Arial"/>
                <w:b/>
              </w:rPr>
            </w:pPr>
            <w:r w:rsidRPr="00421D12">
              <w:rPr>
                <w:rFonts w:ascii="Palatino Linotype" w:hAnsi="Palatino Linotype" w:cs="Arial"/>
                <w:b/>
              </w:rPr>
              <w:t>Zulema Martínez Sánchez</w:t>
            </w:r>
          </w:p>
          <w:p w:rsidR="00421D12" w:rsidRPr="00421D12" w:rsidRDefault="00421D12" w:rsidP="00421D12">
            <w:pPr>
              <w:spacing w:line="252" w:lineRule="auto"/>
              <w:jc w:val="center"/>
              <w:rPr>
                <w:rFonts w:ascii="Palatino Linotype" w:hAnsi="Palatino Linotype" w:cs="Arial"/>
              </w:rPr>
            </w:pPr>
            <w:r w:rsidRPr="00421D12">
              <w:rPr>
                <w:rFonts w:ascii="Palatino Linotype" w:hAnsi="Palatino Linotype" w:cs="Arial"/>
              </w:rPr>
              <w:t>Comisionada Presidenta</w:t>
            </w:r>
          </w:p>
          <w:p w:rsidR="00421D12" w:rsidRPr="00421D12" w:rsidRDefault="00421D12" w:rsidP="00421D12">
            <w:pPr>
              <w:spacing w:line="252" w:lineRule="auto"/>
              <w:jc w:val="center"/>
              <w:rPr>
                <w:rFonts w:ascii="Palatino Linotype" w:hAnsi="Palatino Linotype" w:cs="Arial"/>
              </w:rPr>
            </w:pPr>
            <w:r w:rsidRPr="00421D12">
              <w:rPr>
                <w:rFonts w:ascii="Palatino Linotype" w:hAnsi="Palatino Linotype" w:cs="Arial"/>
              </w:rPr>
              <w:t>(Rúbrica)</w:t>
            </w:r>
          </w:p>
          <w:p w:rsidR="00421D12" w:rsidRPr="00421D12" w:rsidRDefault="00421D12" w:rsidP="00421D12">
            <w:pPr>
              <w:spacing w:line="360" w:lineRule="auto"/>
              <w:rPr>
                <w:rFonts w:ascii="Palatino Linotype" w:hAnsi="Palatino Linotype" w:cs="Arial"/>
              </w:rPr>
            </w:pPr>
          </w:p>
          <w:p w:rsidR="00421D12" w:rsidRDefault="00421D12" w:rsidP="00421D12">
            <w:pPr>
              <w:spacing w:line="360" w:lineRule="auto"/>
              <w:rPr>
                <w:rFonts w:ascii="Palatino Linotype" w:hAnsi="Palatino Linotype" w:cs="Arial"/>
              </w:rPr>
            </w:pPr>
          </w:p>
          <w:p w:rsidR="00AE160A" w:rsidRDefault="00AE160A" w:rsidP="00421D12">
            <w:pPr>
              <w:spacing w:line="360" w:lineRule="auto"/>
              <w:rPr>
                <w:rFonts w:ascii="Palatino Linotype" w:hAnsi="Palatino Linotype" w:cs="Arial"/>
              </w:rPr>
            </w:pPr>
          </w:p>
          <w:p w:rsidR="00AE160A" w:rsidRPr="00421D12" w:rsidRDefault="00AE160A" w:rsidP="00421D12">
            <w:pPr>
              <w:spacing w:line="360" w:lineRule="auto"/>
              <w:rPr>
                <w:rFonts w:ascii="Palatino Linotype" w:hAnsi="Palatino Linotype" w:cs="Arial"/>
              </w:rPr>
            </w:pPr>
          </w:p>
          <w:p w:rsidR="00421D12" w:rsidRPr="00421D12" w:rsidRDefault="00421D12" w:rsidP="00421D12">
            <w:pPr>
              <w:spacing w:line="360" w:lineRule="auto"/>
              <w:rPr>
                <w:rFonts w:ascii="Palatino Linotype" w:hAnsi="Palatino Linotype" w:cs="Arial"/>
              </w:rPr>
            </w:pPr>
          </w:p>
        </w:tc>
      </w:tr>
      <w:tr w:rsidR="00421D12" w:rsidRPr="00421D12" w:rsidTr="00557E13">
        <w:trPr>
          <w:trHeight w:val="902"/>
          <w:jc w:val="center"/>
        </w:trPr>
        <w:tc>
          <w:tcPr>
            <w:tcW w:w="2385" w:type="pct"/>
            <w:hideMark/>
          </w:tcPr>
          <w:p w:rsidR="00421D12" w:rsidRPr="00421D12" w:rsidRDefault="00421D12" w:rsidP="00421D12">
            <w:pPr>
              <w:spacing w:line="252" w:lineRule="auto"/>
              <w:jc w:val="center"/>
              <w:rPr>
                <w:rFonts w:ascii="Palatino Linotype" w:hAnsi="Palatino Linotype" w:cs="Arial"/>
                <w:b/>
              </w:rPr>
            </w:pPr>
            <w:r w:rsidRPr="00421D12">
              <w:rPr>
                <w:rFonts w:ascii="Palatino Linotype" w:hAnsi="Palatino Linotype" w:cs="Arial"/>
                <w:b/>
              </w:rPr>
              <w:t>Eva Abaid Yapur</w:t>
            </w:r>
          </w:p>
          <w:p w:rsidR="00421D12" w:rsidRPr="00421D12" w:rsidRDefault="00421D12" w:rsidP="00421D12">
            <w:pPr>
              <w:spacing w:line="252" w:lineRule="auto"/>
              <w:jc w:val="center"/>
              <w:rPr>
                <w:rFonts w:ascii="Palatino Linotype" w:hAnsi="Palatino Linotype" w:cs="Arial"/>
              </w:rPr>
            </w:pPr>
            <w:r w:rsidRPr="00421D12">
              <w:rPr>
                <w:rFonts w:ascii="Palatino Linotype" w:hAnsi="Palatino Linotype" w:cs="Arial"/>
              </w:rPr>
              <w:t>Comisionada</w:t>
            </w:r>
          </w:p>
          <w:p w:rsidR="00421D12" w:rsidRPr="00421D12" w:rsidRDefault="00421D12" w:rsidP="00421D12">
            <w:pPr>
              <w:spacing w:line="252" w:lineRule="auto"/>
              <w:jc w:val="center"/>
              <w:rPr>
                <w:rFonts w:ascii="Palatino Linotype" w:hAnsi="Palatino Linotype" w:cs="Arial"/>
              </w:rPr>
            </w:pPr>
            <w:r w:rsidRPr="00421D12">
              <w:rPr>
                <w:rFonts w:ascii="Palatino Linotype" w:hAnsi="Palatino Linotype" w:cs="Arial"/>
              </w:rPr>
              <w:t>(Rúbrica)</w:t>
            </w:r>
          </w:p>
        </w:tc>
        <w:tc>
          <w:tcPr>
            <w:tcW w:w="2615" w:type="pct"/>
          </w:tcPr>
          <w:p w:rsidR="00421D12" w:rsidRPr="00421D12" w:rsidRDefault="00421D12" w:rsidP="00421D12">
            <w:pPr>
              <w:spacing w:line="252" w:lineRule="auto"/>
              <w:jc w:val="center"/>
              <w:rPr>
                <w:rFonts w:ascii="Palatino Linotype" w:hAnsi="Palatino Linotype" w:cs="Arial"/>
                <w:b/>
              </w:rPr>
            </w:pPr>
            <w:r w:rsidRPr="00421D12">
              <w:rPr>
                <w:rFonts w:ascii="Palatino Linotype" w:hAnsi="Palatino Linotype" w:cs="Arial"/>
                <w:b/>
              </w:rPr>
              <w:t>José Guadalupe Luna Hernández</w:t>
            </w:r>
          </w:p>
          <w:p w:rsidR="00421D12" w:rsidRPr="00421D12" w:rsidRDefault="00421D12" w:rsidP="00421D12">
            <w:pPr>
              <w:spacing w:line="252" w:lineRule="auto"/>
              <w:jc w:val="center"/>
              <w:rPr>
                <w:rFonts w:ascii="Palatino Linotype" w:hAnsi="Palatino Linotype" w:cs="Arial"/>
              </w:rPr>
            </w:pPr>
            <w:r w:rsidRPr="00421D12">
              <w:rPr>
                <w:rFonts w:ascii="Palatino Linotype" w:hAnsi="Palatino Linotype" w:cs="Arial"/>
              </w:rPr>
              <w:t>Comisionado</w:t>
            </w:r>
          </w:p>
          <w:p w:rsidR="00421D12" w:rsidRPr="00421D12" w:rsidRDefault="00421D12" w:rsidP="00421D12">
            <w:pPr>
              <w:spacing w:line="252" w:lineRule="auto"/>
              <w:jc w:val="center"/>
              <w:rPr>
                <w:rFonts w:ascii="Palatino Linotype" w:hAnsi="Palatino Linotype" w:cs="Arial"/>
              </w:rPr>
            </w:pPr>
            <w:r w:rsidRPr="00421D12">
              <w:rPr>
                <w:rFonts w:ascii="Palatino Linotype" w:hAnsi="Palatino Linotype" w:cs="Arial"/>
              </w:rPr>
              <w:t>(Rúbrica)</w:t>
            </w:r>
          </w:p>
          <w:p w:rsidR="00421D12" w:rsidRPr="00421D12" w:rsidRDefault="00421D12" w:rsidP="00421D12">
            <w:pPr>
              <w:spacing w:line="252" w:lineRule="auto"/>
              <w:rPr>
                <w:rFonts w:ascii="Palatino Linotype" w:hAnsi="Palatino Linotype" w:cs="Arial"/>
              </w:rPr>
            </w:pPr>
          </w:p>
          <w:p w:rsidR="00421D12" w:rsidRDefault="00421D12" w:rsidP="00421D12">
            <w:pPr>
              <w:spacing w:line="252" w:lineRule="auto"/>
              <w:rPr>
                <w:rFonts w:ascii="Palatino Linotype" w:hAnsi="Palatino Linotype" w:cs="Arial"/>
              </w:rPr>
            </w:pPr>
          </w:p>
          <w:p w:rsidR="00D60320" w:rsidRDefault="00D60320" w:rsidP="00421D12">
            <w:pPr>
              <w:spacing w:line="252" w:lineRule="auto"/>
              <w:rPr>
                <w:rFonts w:ascii="Palatino Linotype" w:hAnsi="Palatino Linotype" w:cs="Arial"/>
              </w:rPr>
            </w:pPr>
          </w:p>
          <w:p w:rsidR="00AE160A" w:rsidRDefault="00AE160A" w:rsidP="00421D12">
            <w:pPr>
              <w:spacing w:line="252" w:lineRule="auto"/>
              <w:rPr>
                <w:rFonts w:ascii="Palatino Linotype" w:hAnsi="Palatino Linotype" w:cs="Arial"/>
              </w:rPr>
            </w:pPr>
          </w:p>
          <w:p w:rsidR="00AE160A" w:rsidRDefault="00AE160A" w:rsidP="00421D12">
            <w:pPr>
              <w:spacing w:line="252" w:lineRule="auto"/>
              <w:rPr>
                <w:rFonts w:ascii="Palatino Linotype" w:hAnsi="Palatino Linotype" w:cs="Arial"/>
              </w:rPr>
            </w:pPr>
          </w:p>
          <w:p w:rsidR="00AE160A" w:rsidRDefault="00AE160A" w:rsidP="00421D12">
            <w:pPr>
              <w:spacing w:line="252" w:lineRule="auto"/>
              <w:rPr>
                <w:rFonts w:ascii="Palatino Linotype" w:hAnsi="Palatino Linotype" w:cs="Arial"/>
              </w:rPr>
            </w:pPr>
          </w:p>
          <w:p w:rsidR="00AE160A" w:rsidRDefault="00AE160A" w:rsidP="00421D12">
            <w:pPr>
              <w:spacing w:line="252" w:lineRule="auto"/>
              <w:rPr>
                <w:rFonts w:ascii="Palatino Linotype" w:hAnsi="Palatino Linotype" w:cs="Arial"/>
              </w:rPr>
            </w:pPr>
          </w:p>
          <w:p w:rsidR="00AE160A" w:rsidRDefault="00AE160A" w:rsidP="00421D12">
            <w:pPr>
              <w:spacing w:line="252" w:lineRule="auto"/>
              <w:rPr>
                <w:rFonts w:ascii="Palatino Linotype" w:hAnsi="Palatino Linotype" w:cs="Arial"/>
              </w:rPr>
            </w:pPr>
          </w:p>
          <w:p w:rsidR="00AE160A" w:rsidRDefault="00AE160A" w:rsidP="00421D12">
            <w:pPr>
              <w:spacing w:line="252" w:lineRule="auto"/>
              <w:rPr>
                <w:rFonts w:ascii="Palatino Linotype" w:hAnsi="Palatino Linotype" w:cs="Arial"/>
              </w:rPr>
            </w:pPr>
          </w:p>
          <w:p w:rsidR="00D60320" w:rsidRPr="00421D12" w:rsidRDefault="00D60320" w:rsidP="00421D12">
            <w:pPr>
              <w:spacing w:line="252" w:lineRule="auto"/>
              <w:rPr>
                <w:rFonts w:ascii="Palatino Linotype" w:hAnsi="Palatino Linotype" w:cs="Arial"/>
              </w:rPr>
            </w:pPr>
          </w:p>
          <w:p w:rsidR="00421D12" w:rsidRPr="00421D12" w:rsidRDefault="00421D12" w:rsidP="00421D12">
            <w:pPr>
              <w:spacing w:line="252" w:lineRule="auto"/>
              <w:rPr>
                <w:rFonts w:ascii="Palatino Linotype" w:hAnsi="Palatino Linotype" w:cs="Arial"/>
              </w:rPr>
            </w:pPr>
          </w:p>
        </w:tc>
      </w:tr>
      <w:tr w:rsidR="00421D12" w:rsidRPr="00421D12" w:rsidTr="00557E13">
        <w:trPr>
          <w:trHeight w:val="902"/>
          <w:jc w:val="center"/>
        </w:trPr>
        <w:tc>
          <w:tcPr>
            <w:tcW w:w="2385" w:type="pct"/>
            <w:hideMark/>
          </w:tcPr>
          <w:p w:rsidR="00421D12" w:rsidRPr="00421D12" w:rsidRDefault="00421D12" w:rsidP="00421D12">
            <w:pPr>
              <w:spacing w:line="252" w:lineRule="auto"/>
              <w:jc w:val="center"/>
              <w:rPr>
                <w:rFonts w:ascii="Palatino Linotype" w:hAnsi="Palatino Linotype" w:cs="Arial"/>
                <w:b/>
              </w:rPr>
            </w:pPr>
            <w:r w:rsidRPr="00421D12">
              <w:rPr>
                <w:rFonts w:ascii="Palatino Linotype" w:hAnsi="Palatino Linotype" w:cs="Arial"/>
                <w:b/>
              </w:rPr>
              <w:lastRenderedPageBreak/>
              <w:t>Javier Martínez Cruz</w:t>
            </w:r>
          </w:p>
          <w:p w:rsidR="00421D12" w:rsidRPr="00421D12" w:rsidRDefault="00421D12" w:rsidP="00421D12">
            <w:pPr>
              <w:spacing w:line="252" w:lineRule="auto"/>
              <w:jc w:val="center"/>
              <w:rPr>
                <w:rFonts w:ascii="Palatino Linotype" w:hAnsi="Palatino Linotype" w:cs="Arial"/>
              </w:rPr>
            </w:pPr>
            <w:r w:rsidRPr="00421D12">
              <w:rPr>
                <w:rFonts w:ascii="Palatino Linotype" w:hAnsi="Palatino Linotype" w:cs="Arial"/>
              </w:rPr>
              <w:t>Comisionado</w:t>
            </w:r>
          </w:p>
          <w:p w:rsidR="00421D12" w:rsidRPr="00421D12" w:rsidRDefault="00421D12" w:rsidP="00421D12">
            <w:pPr>
              <w:spacing w:line="252" w:lineRule="auto"/>
              <w:jc w:val="center"/>
              <w:rPr>
                <w:rFonts w:ascii="Palatino Linotype" w:hAnsi="Palatino Linotype" w:cs="Arial"/>
              </w:rPr>
            </w:pPr>
            <w:r w:rsidRPr="00421D12">
              <w:rPr>
                <w:rFonts w:ascii="Palatino Linotype" w:hAnsi="Palatino Linotype" w:cs="Arial"/>
              </w:rPr>
              <w:t>(Rúbrica)</w:t>
            </w:r>
          </w:p>
        </w:tc>
        <w:tc>
          <w:tcPr>
            <w:tcW w:w="2615" w:type="pct"/>
          </w:tcPr>
          <w:p w:rsidR="00421D12" w:rsidRPr="00421D12" w:rsidRDefault="00421D12" w:rsidP="00421D12">
            <w:pPr>
              <w:spacing w:line="252" w:lineRule="auto"/>
              <w:jc w:val="center"/>
              <w:rPr>
                <w:rFonts w:ascii="Palatino Linotype" w:hAnsi="Palatino Linotype" w:cs="Arial"/>
                <w:b/>
              </w:rPr>
            </w:pPr>
            <w:r w:rsidRPr="00421D12">
              <w:rPr>
                <w:rFonts w:ascii="Palatino Linotype" w:hAnsi="Palatino Linotype" w:cs="Arial"/>
                <w:b/>
              </w:rPr>
              <w:t>Luis Gustavo Parra Noriega</w:t>
            </w:r>
          </w:p>
          <w:p w:rsidR="00421D12" w:rsidRPr="00421D12" w:rsidRDefault="00421D12" w:rsidP="00421D12">
            <w:pPr>
              <w:spacing w:line="252" w:lineRule="auto"/>
              <w:jc w:val="center"/>
              <w:rPr>
                <w:rFonts w:ascii="Palatino Linotype" w:hAnsi="Palatino Linotype" w:cs="Arial"/>
              </w:rPr>
            </w:pPr>
            <w:r w:rsidRPr="00421D12">
              <w:rPr>
                <w:rFonts w:ascii="Palatino Linotype" w:hAnsi="Palatino Linotype" w:cs="Arial"/>
              </w:rPr>
              <w:t>Comisionado</w:t>
            </w:r>
          </w:p>
          <w:p w:rsidR="00421D12" w:rsidRPr="00421D12" w:rsidRDefault="00421D12" w:rsidP="00421D12">
            <w:pPr>
              <w:spacing w:line="252" w:lineRule="auto"/>
              <w:jc w:val="center"/>
              <w:rPr>
                <w:rFonts w:ascii="Palatino Linotype" w:hAnsi="Palatino Linotype" w:cs="Arial"/>
              </w:rPr>
            </w:pPr>
            <w:r w:rsidRPr="00421D12">
              <w:rPr>
                <w:rFonts w:ascii="Palatino Linotype" w:hAnsi="Palatino Linotype" w:cs="Arial"/>
              </w:rPr>
              <w:t>(Rúbrica)</w:t>
            </w:r>
          </w:p>
          <w:p w:rsidR="00421D12" w:rsidRPr="00421D12" w:rsidRDefault="00421D12" w:rsidP="00421D12">
            <w:pPr>
              <w:spacing w:line="252" w:lineRule="auto"/>
              <w:rPr>
                <w:rFonts w:ascii="Palatino Linotype" w:hAnsi="Palatino Linotype" w:cs="Arial"/>
              </w:rPr>
            </w:pPr>
          </w:p>
          <w:p w:rsidR="00421D12" w:rsidRPr="00421D12" w:rsidRDefault="00421D12" w:rsidP="00421D12">
            <w:pPr>
              <w:spacing w:line="252" w:lineRule="auto"/>
              <w:rPr>
                <w:rFonts w:ascii="Palatino Linotype" w:hAnsi="Palatino Linotype" w:cs="Arial"/>
              </w:rPr>
            </w:pPr>
          </w:p>
          <w:p w:rsidR="00421D12" w:rsidRPr="00421D12" w:rsidRDefault="00421D12" w:rsidP="00421D12">
            <w:pPr>
              <w:spacing w:line="252" w:lineRule="auto"/>
              <w:rPr>
                <w:rFonts w:ascii="Palatino Linotype" w:hAnsi="Palatino Linotype" w:cs="Arial"/>
              </w:rPr>
            </w:pPr>
          </w:p>
          <w:p w:rsidR="00421D12" w:rsidRPr="00421D12" w:rsidRDefault="00421D12" w:rsidP="00421D12">
            <w:pPr>
              <w:spacing w:line="252" w:lineRule="auto"/>
              <w:rPr>
                <w:rFonts w:ascii="Palatino Linotype" w:hAnsi="Palatino Linotype" w:cs="Arial"/>
              </w:rPr>
            </w:pPr>
          </w:p>
          <w:p w:rsidR="00421D12" w:rsidRPr="00421D12" w:rsidRDefault="00421D12" w:rsidP="00421D12">
            <w:pPr>
              <w:spacing w:line="252" w:lineRule="auto"/>
              <w:rPr>
                <w:rFonts w:ascii="Palatino Linotype" w:hAnsi="Palatino Linotype" w:cs="Arial"/>
              </w:rPr>
            </w:pPr>
          </w:p>
          <w:p w:rsidR="00421D12" w:rsidRPr="00421D12" w:rsidRDefault="00421D12" w:rsidP="00421D12">
            <w:pPr>
              <w:spacing w:line="252" w:lineRule="auto"/>
              <w:rPr>
                <w:rFonts w:ascii="Palatino Linotype" w:hAnsi="Palatino Linotype" w:cs="Arial"/>
              </w:rPr>
            </w:pPr>
          </w:p>
        </w:tc>
      </w:tr>
      <w:tr w:rsidR="00421D12" w:rsidRPr="00421D12" w:rsidTr="00557E13">
        <w:trPr>
          <w:jc w:val="center"/>
        </w:trPr>
        <w:tc>
          <w:tcPr>
            <w:tcW w:w="5000" w:type="pct"/>
            <w:gridSpan w:val="2"/>
            <w:hideMark/>
          </w:tcPr>
          <w:p w:rsidR="00421D12" w:rsidRPr="00421D12" w:rsidRDefault="00421D12" w:rsidP="00421D12">
            <w:pPr>
              <w:spacing w:line="252" w:lineRule="auto"/>
              <w:jc w:val="center"/>
              <w:rPr>
                <w:rFonts w:ascii="Palatino Linotype" w:hAnsi="Palatino Linotype" w:cs="Arial"/>
                <w:b/>
              </w:rPr>
            </w:pPr>
            <w:r w:rsidRPr="00421D12">
              <w:rPr>
                <w:rFonts w:ascii="Palatino Linotype" w:hAnsi="Palatino Linotype" w:cs="Arial"/>
                <w:b/>
              </w:rPr>
              <w:t xml:space="preserve">      Alexis Tapia Ramírez</w:t>
            </w:r>
          </w:p>
          <w:p w:rsidR="00421D12" w:rsidRPr="00421D12" w:rsidRDefault="00421D12" w:rsidP="00421D12">
            <w:pPr>
              <w:tabs>
                <w:tab w:val="left" w:pos="780"/>
                <w:tab w:val="center" w:pos="4499"/>
              </w:tabs>
              <w:spacing w:line="252" w:lineRule="auto"/>
              <w:rPr>
                <w:rFonts w:ascii="Palatino Linotype" w:hAnsi="Palatino Linotype" w:cs="Arial"/>
              </w:rPr>
            </w:pPr>
            <w:r w:rsidRPr="00421D12">
              <w:rPr>
                <w:rFonts w:ascii="Palatino Linotype" w:hAnsi="Palatino Linotype" w:cs="Arial"/>
              </w:rPr>
              <w:tab/>
            </w:r>
            <w:r w:rsidRPr="00421D12">
              <w:rPr>
                <w:rFonts w:ascii="Palatino Linotype" w:hAnsi="Palatino Linotype" w:cs="Arial"/>
              </w:rPr>
              <w:tab/>
              <w:t>Secretario Técnico del Pleno</w:t>
            </w:r>
          </w:p>
          <w:p w:rsidR="00421D12" w:rsidRPr="00421D12" w:rsidRDefault="00421D12" w:rsidP="00421D12">
            <w:pPr>
              <w:spacing w:line="252" w:lineRule="auto"/>
              <w:jc w:val="center"/>
              <w:rPr>
                <w:rFonts w:ascii="Palatino Linotype" w:hAnsi="Palatino Linotype" w:cs="Arial"/>
              </w:rPr>
            </w:pPr>
            <w:r w:rsidRPr="00421D12">
              <w:rPr>
                <w:rFonts w:ascii="Palatino Linotype" w:hAnsi="Palatino Linotype" w:cs="Arial"/>
              </w:rPr>
              <w:t>(Rúbrica)</w:t>
            </w:r>
          </w:p>
        </w:tc>
      </w:tr>
    </w:tbl>
    <w:p w:rsidR="008F3189" w:rsidRPr="00D60320" w:rsidRDefault="00421D12" w:rsidP="00D60320">
      <w:pPr>
        <w:spacing w:before="100" w:beforeAutospacing="1" w:after="100" w:afterAutospacing="1" w:line="360" w:lineRule="auto"/>
        <w:jc w:val="both"/>
      </w:pPr>
      <w:r w:rsidRPr="00421D12">
        <w:rPr>
          <w:rFonts w:ascii="Palatino Linotype" w:hAnsi="Palatino Linotype" w:cs="Arial"/>
          <w:sz w:val="20"/>
          <w:szCs w:val="20"/>
        </w:rPr>
        <w:t xml:space="preserve">Esta hoja corresponde a la resolución de fecha </w:t>
      </w:r>
      <w:r w:rsidR="007E1456">
        <w:rPr>
          <w:rFonts w:ascii="Palatino Linotype" w:hAnsi="Palatino Linotype" w:cs="Arial"/>
          <w:sz w:val="20"/>
          <w:szCs w:val="20"/>
        </w:rPr>
        <w:t>diez</w:t>
      </w:r>
      <w:r w:rsidRPr="00421D12">
        <w:rPr>
          <w:rFonts w:ascii="Palatino Linotype" w:hAnsi="Palatino Linotype" w:cs="Arial"/>
          <w:sz w:val="20"/>
          <w:szCs w:val="20"/>
        </w:rPr>
        <w:t xml:space="preserve"> de octubre de dos mil dieciocho, emitida en el recurso de revisión </w:t>
      </w:r>
      <w:r w:rsidR="007E1456">
        <w:rPr>
          <w:rFonts w:ascii="Palatino Linotype" w:hAnsi="Palatino Linotype" w:cs="Arial"/>
          <w:b/>
          <w:bCs/>
          <w:sz w:val="20"/>
          <w:szCs w:val="20"/>
        </w:rPr>
        <w:t>03076</w:t>
      </w:r>
      <w:r w:rsidRPr="00421D12">
        <w:rPr>
          <w:rFonts w:ascii="Palatino Linotype" w:hAnsi="Palatino Linotype" w:cs="Arial"/>
          <w:b/>
          <w:bCs/>
          <w:sz w:val="20"/>
          <w:szCs w:val="20"/>
        </w:rPr>
        <w:t>/INFOEM/IP/RR/2018</w:t>
      </w:r>
      <w:r w:rsidRPr="00421D12">
        <w:rPr>
          <w:rFonts w:ascii="Palatino Linotype" w:hAnsi="Palatino Linotype" w:cs="Arial"/>
          <w:bCs/>
          <w:sz w:val="20"/>
          <w:szCs w:val="20"/>
        </w:rPr>
        <w:t xml:space="preserve"> </w:t>
      </w:r>
      <w:r w:rsidRPr="00421D12">
        <w:rPr>
          <w:rFonts w:ascii="Palatino Linotype" w:hAnsi="Palatino Linotype" w:cs="Arial"/>
          <w:b/>
          <w:bCs/>
          <w:sz w:val="20"/>
          <w:szCs w:val="20"/>
        </w:rPr>
        <w:t>y acumulado</w:t>
      </w:r>
      <w:r w:rsidRPr="00421D12">
        <w:rPr>
          <w:rFonts w:ascii="Palatino Linotype" w:hAnsi="Palatino Linotype" w:cs="Arial"/>
          <w:bCs/>
          <w:sz w:val="20"/>
          <w:szCs w:val="20"/>
        </w:rPr>
        <w:t>.</w:t>
      </w:r>
    </w:p>
    <w:sectPr w:rsidR="008F3189" w:rsidRPr="00D60320" w:rsidSect="00421D12">
      <w:headerReference w:type="default" r:id="rId14"/>
      <w:footerReference w:type="default" r:id="rId15"/>
      <w:headerReference w:type="first" r:id="rId16"/>
      <w:footerReference w:type="firs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748" w:rsidRDefault="00AE5748" w:rsidP="00F70825">
      <w:r>
        <w:separator/>
      </w:r>
    </w:p>
  </w:endnote>
  <w:endnote w:type="continuationSeparator" w:id="0">
    <w:p w:rsidR="00AE5748" w:rsidRDefault="00AE5748" w:rsidP="00F70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189" w:rsidRDefault="00421D12" w:rsidP="00421D12">
    <w:pPr>
      <w:pStyle w:val="Piedepgina"/>
      <w:jc w:val="right"/>
    </w:pPr>
    <w:r w:rsidRPr="002B6CCE">
      <w:rPr>
        <w:rFonts w:ascii="Arial" w:hAnsi="Arial" w:cs="Arial"/>
        <w:b/>
        <w:bCs/>
        <w:sz w:val="20"/>
        <w:szCs w:val="20"/>
      </w:rPr>
      <w:t xml:space="preserve">Página </w:t>
    </w:r>
    <w:r w:rsidRPr="002B6CCE">
      <w:rPr>
        <w:rFonts w:ascii="Arial" w:hAnsi="Arial" w:cs="Arial"/>
        <w:b/>
        <w:bCs/>
        <w:sz w:val="20"/>
        <w:szCs w:val="20"/>
      </w:rPr>
      <w:fldChar w:fldCharType="begin"/>
    </w:r>
    <w:r w:rsidRPr="002B6CCE">
      <w:rPr>
        <w:rFonts w:ascii="Arial" w:hAnsi="Arial" w:cs="Arial"/>
        <w:b/>
        <w:bCs/>
        <w:sz w:val="20"/>
        <w:szCs w:val="20"/>
      </w:rPr>
      <w:instrText>PAGE</w:instrText>
    </w:r>
    <w:r w:rsidRPr="002B6CCE">
      <w:rPr>
        <w:rFonts w:ascii="Arial" w:hAnsi="Arial" w:cs="Arial"/>
        <w:b/>
        <w:bCs/>
        <w:sz w:val="20"/>
        <w:szCs w:val="20"/>
      </w:rPr>
      <w:fldChar w:fldCharType="separate"/>
    </w:r>
    <w:r w:rsidR="00DE1FAA">
      <w:rPr>
        <w:rFonts w:ascii="Arial" w:hAnsi="Arial" w:cs="Arial"/>
        <w:b/>
        <w:bCs/>
        <w:noProof/>
        <w:sz w:val="20"/>
        <w:szCs w:val="20"/>
      </w:rPr>
      <w:t>23</w:t>
    </w:r>
    <w:r w:rsidRPr="002B6CCE">
      <w:rPr>
        <w:rFonts w:ascii="Arial" w:hAnsi="Arial" w:cs="Arial"/>
        <w:b/>
        <w:bCs/>
        <w:sz w:val="20"/>
        <w:szCs w:val="20"/>
      </w:rPr>
      <w:fldChar w:fldCharType="end"/>
    </w:r>
    <w:r w:rsidRPr="002B6CCE">
      <w:rPr>
        <w:rFonts w:ascii="Arial" w:hAnsi="Arial" w:cs="Arial"/>
        <w:sz w:val="20"/>
        <w:szCs w:val="20"/>
      </w:rPr>
      <w:t xml:space="preserve"> de </w:t>
    </w:r>
    <w:r w:rsidRPr="002B6CCE">
      <w:rPr>
        <w:rFonts w:ascii="Arial" w:hAnsi="Arial" w:cs="Arial"/>
        <w:b/>
        <w:bCs/>
        <w:sz w:val="20"/>
        <w:szCs w:val="20"/>
      </w:rPr>
      <w:fldChar w:fldCharType="begin"/>
    </w:r>
    <w:r w:rsidRPr="002B6CCE">
      <w:rPr>
        <w:rFonts w:ascii="Arial" w:hAnsi="Arial" w:cs="Arial"/>
        <w:b/>
        <w:bCs/>
        <w:sz w:val="20"/>
        <w:szCs w:val="20"/>
      </w:rPr>
      <w:instrText>NUMPAGES</w:instrText>
    </w:r>
    <w:r w:rsidRPr="002B6CCE">
      <w:rPr>
        <w:rFonts w:ascii="Arial" w:hAnsi="Arial" w:cs="Arial"/>
        <w:b/>
        <w:bCs/>
        <w:sz w:val="20"/>
        <w:szCs w:val="20"/>
      </w:rPr>
      <w:fldChar w:fldCharType="separate"/>
    </w:r>
    <w:r w:rsidR="00DE1FAA">
      <w:rPr>
        <w:rFonts w:ascii="Arial" w:hAnsi="Arial" w:cs="Arial"/>
        <w:b/>
        <w:bCs/>
        <w:noProof/>
        <w:sz w:val="20"/>
        <w:szCs w:val="20"/>
      </w:rPr>
      <w:t>24</w:t>
    </w:r>
    <w:r w:rsidRPr="002B6CCE">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189" w:rsidRDefault="00421D12" w:rsidP="00421D12">
    <w:pPr>
      <w:pStyle w:val="Piedepgina"/>
      <w:jc w:val="right"/>
    </w:pPr>
    <w:r w:rsidRPr="002B6CCE">
      <w:rPr>
        <w:rFonts w:ascii="Arial" w:hAnsi="Arial" w:cs="Arial"/>
        <w:b/>
        <w:bCs/>
        <w:sz w:val="20"/>
        <w:szCs w:val="20"/>
      </w:rPr>
      <w:t xml:space="preserve">Página </w:t>
    </w:r>
    <w:r w:rsidRPr="002B6CCE">
      <w:rPr>
        <w:rFonts w:ascii="Arial" w:hAnsi="Arial" w:cs="Arial"/>
        <w:b/>
        <w:bCs/>
        <w:sz w:val="20"/>
        <w:szCs w:val="20"/>
      </w:rPr>
      <w:fldChar w:fldCharType="begin"/>
    </w:r>
    <w:r w:rsidRPr="002B6CCE">
      <w:rPr>
        <w:rFonts w:ascii="Arial" w:hAnsi="Arial" w:cs="Arial"/>
        <w:b/>
        <w:bCs/>
        <w:sz w:val="20"/>
        <w:szCs w:val="20"/>
      </w:rPr>
      <w:instrText>PAGE</w:instrText>
    </w:r>
    <w:r w:rsidRPr="002B6CCE">
      <w:rPr>
        <w:rFonts w:ascii="Arial" w:hAnsi="Arial" w:cs="Arial"/>
        <w:b/>
        <w:bCs/>
        <w:sz w:val="20"/>
        <w:szCs w:val="20"/>
      </w:rPr>
      <w:fldChar w:fldCharType="separate"/>
    </w:r>
    <w:r w:rsidR="00DE1FAA">
      <w:rPr>
        <w:rFonts w:ascii="Arial" w:hAnsi="Arial" w:cs="Arial"/>
        <w:b/>
        <w:bCs/>
        <w:noProof/>
        <w:sz w:val="20"/>
        <w:szCs w:val="20"/>
      </w:rPr>
      <w:t>1</w:t>
    </w:r>
    <w:r w:rsidRPr="002B6CCE">
      <w:rPr>
        <w:rFonts w:ascii="Arial" w:hAnsi="Arial" w:cs="Arial"/>
        <w:b/>
        <w:bCs/>
        <w:sz w:val="20"/>
        <w:szCs w:val="20"/>
      </w:rPr>
      <w:fldChar w:fldCharType="end"/>
    </w:r>
    <w:r w:rsidRPr="002B6CCE">
      <w:rPr>
        <w:rFonts w:ascii="Arial" w:hAnsi="Arial" w:cs="Arial"/>
        <w:sz w:val="20"/>
        <w:szCs w:val="20"/>
      </w:rPr>
      <w:t xml:space="preserve"> de </w:t>
    </w:r>
    <w:r w:rsidRPr="002B6CCE">
      <w:rPr>
        <w:rFonts w:ascii="Arial" w:hAnsi="Arial" w:cs="Arial"/>
        <w:b/>
        <w:bCs/>
        <w:sz w:val="20"/>
        <w:szCs w:val="20"/>
      </w:rPr>
      <w:fldChar w:fldCharType="begin"/>
    </w:r>
    <w:r w:rsidRPr="002B6CCE">
      <w:rPr>
        <w:rFonts w:ascii="Arial" w:hAnsi="Arial" w:cs="Arial"/>
        <w:b/>
        <w:bCs/>
        <w:sz w:val="20"/>
        <w:szCs w:val="20"/>
      </w:rPr>
      <w:instrText>NUMPAGES</w:instrText>
    </w:r>
    <w:r w:rsidRPr="002B6CCE">
      <w:rPr>
        <w:rFonts w:ascii="Arial" w:hAnsi="Arial" w:cs="Arial"/>
        <w:b/>
        <w:bCs/>
        <w:sz w:val="20"/>
        <w:szCs w:val="20"/>
      </w:rPr>
      <w:fldChar w:fldCharType="separate"/>
    </w:r>
    <w:r w:rsidR="00DE1FAA">
      <w:rPr>
        <w:rFonts w:ascii="Arial" w:hAnsi="Arial" w:cs="Arial"/>
        <w:b/>
        <w:bCs/>
        <w:noProof/>
        <w:sz w:val="20"/>
        <w:szCs w:val="20"/>
      </w:rPr>
      <w:t>24</w:t>
    </w:r>
    <w:r w:rsidRPr="002B6CCE">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748" w:rsidRDefault="00AE5748" w:rsidP="00F70825">
      <w:r>
        <w:separator/>
      </w:r>
    </w:p>
  </w:footnote>
  <w:footnote w:type="continuationSeparator" w:id="0">
    <w:p w:rsidR="00AE5748" w:rsidRDefault="00AE5748" w:rsidP="00F70825">
      <w:r>
        <w:continuationSeparator/>
      </w:r>
    </w:p>
  </w:footnote>
  <w:footnote w:id="1">
    <w:p w:rsidR="00F70825" w:rsidRDefault="00F70825" w:rsidP="00F70825">
      <w:pPr>
        <w:pStyle w:val="Textonotapie"/>
        <w:rPr>
          <w:rFonts w:ascii="Palatino Linotype" w:hAnsi="Palatino Linotype"/>
          <w:lang w:val="es-MX"/>
        </w:rPr>
      </w:pPr>
      <w:r>
        <w:rPr>
          <w:rStyle w:val="Refdenotaalpie"/>
        </w:rPr>
        <w:footnoteRef/>
      </w:r>
      <w:r>
        <w:t xml:space="preserve"> </w:t>
      </w:r>
      <w:r>
        <w:rPr>
          <w:rFonts w:ascii="Palatino Linotype" w:hAnsi="Palatino Linotype"/>
          <w:lang w:val="es-MX"/>
        </w:rPr>
        <w:t>Ley de Transparencia y Acceso a la Información Pública del Estado de México y Municipios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dxa"/>
      <w:tblInd w:w="31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890"/>
      <w:gridCol w:w="3650"/>
    </w:tblGrid>
    <w:tr w:rsidR="008F3189" w:rsidRPr="002B6CCE" w:rsidTr="00557E13">
      <w:trPr>
        <w:trHeight w:val="137"/>
      </w:trPr>
      <w:tc>
        <w:tcPr>
          <w:tcW w:w="2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8F3189" w:rsidRPr="002B6CCE" w:rsidRDefault="008F3189" w:rsidP="008F3189">
          <w:pPr>
            <w:rPr>
              <w:rFonts w:ascii="Palatino Linotype" w:hAnsi="Palatino Linotype"/>
              <w:b/>
            </w:rPr>
          </w:pPr>
          <w:r w:rsidRPr="002B6CCE">
            <w:rPr>
              <w:rFonts w:ascii="Palatino Linotype" w:hAnsi="Palatino Linotype"/>
              <w:b/>
            </w:rPr>
            <w:t>Recurso de Revisión:</w:t>
          </w:r>
        </w:p>
      </w:tc>
      <w:tc>
        <w:tcPr>
          <w:tcW w:w="3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8F3189" w:rsidRPr="002B6CCE" w:rsidRDefault="00421D12" w:rsidP="008F3189">
          <w:pPr>
            <w:tabs>
              <w:tab w:val="center" w:pos="4252"/>
              <w:tab w:val="right" w:pos="8504"/>
            </w:tabs>
            <w:jc w:val="both"/>
            <w:rPr>
              <w:rFonts w:ascii="Palatino Linotype" w:hAnsi="Palatino Linotype"/>
              <w:b/>
            </w:rPr>
          </w:pPr>
          <w:r>
            <w:rPr>
              <w:rFonts w:ascii="Palatino Linotype" w:hAnsi="Palatino Linotype" w:cs="Arial"/>
              <w:b/>
              <w:bCs/>
              <w:lang w:eastAsia="es-MX"/>
            </w:rPr>
            <w:t>03076</w:t>
          </w:r>
          <w:r w:rsidR="008F3189" w:rsidRPr="002B6CCE">
            <w:rPr>
              <w:rFonts w:ascii="Palatino Linotype" w:hAnsi="Palatino Linotype" w:cs="Arial"/>
              <w:b/>
              <w:bCs/>
              <w:lang w:eastAsia="es-MX"/>
            </w:rPr>
            <w:t>/INFOEM/IP/RR/2018 y acumulado.</w:t>
          </w:r>
        </w:p>
      </w:tc>
    </w:tr>
    <w:tr w:rsidR="008F3189" w:rsidRPr="002B6CCE" w:rsidTr="00557E13">
      <w:trPr>
        <w:trHeight w:val="230"/>
      </w:trPr>
      <w:tc>
        <w:tcPr>
          <w:tcW w:w="2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8F3189" w:rsidRPr="002B6CCE" w:rsidRDefault="008F3189" w:rsidP="008F3189">
          <w:pPr>
            <w:rPr>
              <w:rFonts w:ascii="Palatino Linotype" w:hAnsi="Palatino Linotype"/>
              <w:b/>
            </w:rPr>
          </w:pPr>
          <w:r w:rsidRPr="002B6CCE">
            <w:rPr>
              <w:rFonts w:ascii="Palatino Linotype" w:hAnsi="Palatino Linotype"/>
              <w:b/>
            </w:rPr>
            <w:t>Sujeto Obligado:</w:t>
          </w:r>
        </w:p>
      </w:tc>
      <w:tc>
        <w:tcPr>
          <w:tcW w:w="3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8F3189" w:rsidRPr="002B6CCE" w:rsidRDefault="00421D12" w:rsidP="008F3189">
          <w:pPr>
            <w:tabs>
              <w:tab w:val="center" w:pos="4252"/>
              <w:tab w:val="right" w:pos="8504"/>
            </w:tabs>
            <w:jc w:val="both"/>
            <w:rPr>
              <w:rFonts w:ascii="Palatino Linotype" w:hAnsi="Palatino Linotype"/>
              <w:b/>
            </w:rPr>
          </w:pPr>
          <w:r>
            <w:rPr>
              <w:rFonts w:ascii="Palatino Linotype" w:hAnsi="Palatino Linotype" w:cs="Arial"/>
              <w:b/>
            </w:rPr>
            <w:t>Secretaría de Salud</w:t>
          </w:r>
        </w:p>
      </w:tc>
    </w:tr>
    <w:tr w:rsidR="008F3189" w:rsidRPr="002B6CCE" w:rsidTr="00557E13">
      <w:trPr>
        <w:trHeight w:val="318"/>
      </w:trPr>
      <w:tc>
        <w:tcPr>
          <w:tcW w:w="2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8F3189" w:rsidRPr="002B6CCE" w:rsidRDefault="008F3189" w:rsidP="008F3189">
          <w:pPr>
            <w:rPr>
              <w:rFonts w:ascii="Palatino Linotype" w:hAnsi="Palatino Linotype"/>
              <w:b/>
              <w:highlight w:val="yellow"/>
            </w:rPr>
          </w:pPr>
          <w:r w:rsidRPr="002B6CCE">
            <w:rPr>
              <w:rFonts w:ascii="Palatino Linotype" w:hAnsi="Palatino Linotype"/>
              <w:b/>
            </w:rPr>
            <w:t>Comisionado Ponente:</w:t>
          </w:r>
        </w:p>
      </w:tc>
      <w:tc>
        <w:tcPr>
          <w:tcW w:w="3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8F3189" w:rsidRPr="002B6CCE" w:rsidRDefault="008F3189" w:rsidP="008F3189">
          <w:pPr>
            <w:tabs>
              <w:tab w:val="center" w:pos="4252"/>
              <w:tab w:val="right" w:pos="8504"/>
            </w:tabs>
            <w:jc w:val="both"/>
            <w:rPr>
              <w:rFonts w:ascii="Palatino Linotype" w:hAnsi="Palatino Linotype"/>
              <w:b/>
            </w:rPr>
          </w:pPr>
          <w:r w:rsidRPr="002B6CCE">
            <w:rPr>
              <w:rFonts w:ascii="Palatino Linotype" w:hAnsi="Palatino Linotype"/>
              <w:b/>
            </w:rPr>
            <w:t>Javier Martínez Cruz</w:t>
          </w:r>
        </w:p>
      </w:tc>
    </w:tr>
  </w:tbl>
  <w:p w:rsidR="008F3189" w:rsidRPr="002B6CCE" w:rsidRDefault="008F3189" w:rsidP="008F3189">
    <w:pPr>
      <w:tabs>
        <w:tab w:val="center" w:pos="4419"/>
        <w:tab w:val="right" w:pos="8838"/>
      </w:tabs>
    </w:pPr>
  </w:p>
  <w:p w:rsidR="008F3189" w:rsidRPr="002B6CCE" w:rsidRDefault="008F3189" w:rsidP="008F3189">
    <w:pPr>
      <w:tabs>
        <w:tab w:val="center" w:pos="4419"/>
        <w:tab w:val="right" w:pos="8838"/>
      </w:tabs>
    </w:pPr>
  </w:p>
  <w:p w:rsidR="008F3189" w:rsidRDefault="008F318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1"/>
      <w:tblW w:w="0" w:type="dxa"/>
      <w:tblInd w:w="31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888"/>
      <w:gridCol w:w="3648"/>
    </w:tblGrid>
    <w:tr w:rsidR="00421D12" w:rsidRPr="00421D12" w:rsidTr="00557E13">
      <w:trPr>
        <w:trHeight w:val="137"/>
      </w:trPr>
      <w:tc>
        <w:tcPr>
          <w:tcW w:w="2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421D12" w:rsidRPr="00421D12" w:rsidRDefault="00421D12" w:rsidP="00421D12">
          <w:pPr>
            <w:rPr>
              <w:rFonts w:ascii="Palatino Linotype" w:hAnsi="Palatino Linotype"/>
              <w:b/>
            </w:rPr>
          </w:pPr>
          <w:r w:rsidRPr="00421D12">
            <w:rPr>
              <w:rFonts w:ascii="Palatino Linotype" w:hAnsi="Palatino Linotype"/>
              <w:b/>
            </w:rPr>
            <w:t>Recurso de Revisión:</w:t>
          </w:r>
        </w:p>
      </w:tc>
      <w:tc>
        <w:tcPr>
          <w:tcW w:w="3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421D12" w:rsidRPr="00421D12" w:rsidRDefault="00421D12" w:rsidP="00421D12">
          <w:pPr>
            <w:tabs>
              <w:tab w:val="center" w:pos="4252"/>
              <w:tab w:val="right" w:pos="8504"/>
            </w:tabs>
            <w:jc w:val="both"/>
            <w:rPr>
              <w:rFonts w:ascii="Palatino Linotype" w:hAnsi="Palatino Linotype" w:cs="Arial"/>
              <w:b/>
              <w:bCs/>
              <w:lang w:eastAsia="es-MX"/>
            </w:rPr>
          </w:pPr>
          <w:r>
            <w:rPr>
              <w:rFonts w:ascii="Palatino Linotype" w:hAnsi="Palatino Linotype" w:cs="Arial"/>
              <w:b/>
              <w:bCs/>
              <w:lang w:eastAsia="es-MX"/>
            </w:rPr>
            <w:t>03076</w:t>
          </w:r>
          <w:r w:rsidRPr="00421D12">
            <w:rPr>
              <w:rFonts w:ascii="Palatino Linotype" w:hAnsi="Palatino Linotype" w:cs="Arial"/>
              <w:b/>
              <w:bCs/>
              <w:lang w:eastAsia="es-MX"/>
            </w:rPr>
            <w:t>/INFOEM/IP/RR/2018 y acumulado.</w:t>
          </w:r>
        </w:p>
      </w:tc>
    </w:tr>
    <w:tr w:rsidR="00421D12" w:rsidRPr="00421D12" w:rsidTr="00557E13">
      <w:trPr>
        <w:trHeight w:val="225"/>
      </w:trPr>
      <w:tc>
        <w:tcPr>
          <w:tcW w:w="2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421D12" w:rsidRPr="00421D12" w:rsidRDefault="00421D12" w:rsidP="00421D12">
          <w:pPr>
            <w:rPr>
              <w:rFonts w:ascii="Palatino Linotype" w:hAnsi="Palatino Linotype"/>
              <w:b/>
            </w:rPr>
          </w:pPr>
          <w:r w:rsidRPr="00421D12">
            <w:rPr>
              <w:rFonts w:ascii="Palatino Linotype" w:hAnsi="Palatino Linotype"/>
              <w:b/>
            </w:rPr>
            <w:t>Recurrente:</w:t>
          </w:r>
        </w:p>
      </w:tc>
      <w:tc>
        <w:tcPr>
          <w:tcW w:w="3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421D12" w:rsidRPr="00421D12" w:rsidRDefault="00DE1FAA" w:rsidP="00421D12">
          <w:pPr>
            <w:tabs>
              <w:tab w:val="center" w:pos="4252"/>
              <w:tab w:val="right" w:pos="8504"/>
            </w:tabs>
            <w:jc w:val="both"/>
            <w:rPr>
              <w:rFonts w:ascii="Palatino Linotype" w:hAnsi="Palatino Linotype"/>
              <w:b/>
            </w:rPr>
          </w:pPr>
          <w:r>
            <w:rPr>
              <w:rFonts w:ascii="Palatino Linotype" w:hAnsi="Palatino Linotype"/>
              <w:b/>
              <w:szCs w:val="22"/>
            </w:rPr>
            <w:t>XXXXXXXXXXXXXX</w:t>
          </w:r>
        </w:p>
      </w:tc>
    </w:tr>
    <w:tr w:rsidR="00421D12" w:rsidRPr="00421D12" w:rsidTr="00557E13">
      <w:trPr>
        <w:trHeight w:val="230"/>
      </w:trPr>
      <w:tc>
        <w:tcPr>
          <w:tcW w:w="2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421D12" w:rsidRPr="00421D12" w:rsidRDefault="00421D12" w:rsidP="00421D12">
          <w:pPr>
            <w:rPr>
              <w:rFonts w:ascii="Palatino Linotype" w:hAnsi="Palatino Linotype"/>
              <w:b/>
            </w:rPr>
          </w:pPr>
          <w:r w:rsidRPr="00421D12">
            <w:rPr>
              <w:rFonts w:ascii="Palatino Linotype" w:hAnsi="Palatino Linotype"/>
              <w:b/>
            </w:rPr>
            <w:t>Sujeto Obligado:</w:t>
          </w:r>
        </w:p>
      </w:tc>
      <w:tc>
        <w:tcPr>
          <w:tcW w:w="3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421D12" w:rsidRPr="00421D12" w:rsidRDefault="00421D12" w:rsidP="00421D12">
          <w:pPr>
            <w:tabs>
              <w:tab w:val="center" w:pos="4252"/>
              <w:tab w:val="right" w:pos="8504"/>
            </w:tabs>
            <w:jc w:val="both"/>
            <w:rPr>
              <w:rFonts w:ascii="Palatino Linotype" w:hAnsi="Palatino Linotype"/>
              <w:b/>
            </w:rPr>
          </w:pPr>
          <w:r>
            <w:rPr>
              <w:rFonts w:ascii="Palatino Linotype" w:hAnsi="Palatino Linotype" w:cs="Arial"/>
              <w:b/>
            </w:rPr>
            <w:t>Secretaría de Salud</w:t>
          </w:r>
        </w:p>
      </w:tc>
    </w:tr>
    <w:tr w:rsidR="00421D12" w:rsidRPr="00421D12" w:rsidTr="00557E13">
      <w:trPr>
        <w:trHeight w:val="318"/>
      </w:trPr>
      <w:tc>
        <w:tcPr>
          <w:tcW w:w="2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421D12" w:rsidRPr="00421D12" w:rsidRDefault="00421D12" w:rsidP="00421D12">
          <w:pPr>
            <w:rPr>
              <w:rFonts w:ascii="Palatino Linotype" w:hAnsi="Palatino Linotype"/>
              <w:b/>
              <w:highlight w:val="yellow"/>
            </w:rPr>
          </w:pPr>
          <w:r w:rsidRPr="00421D12">
            <w:rPr>
              <w:rFonts w:ascii="Palatino Linotype" w:hAnsi="Palatino Linotype"/>
              <w:b/>
            </w:rPr>
            <w:t>Comisionado Ponente:</w:t>
          </w:r>
        </w:p>
      </w:tc>
      <w:tc>
        <w:tcPr>
          <w:tcW w:w="3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421D12" w:rsidRPr="00421D12" w:rsidRDefault="00421D12" w:rsidP="00421D12">
          <w:pPr>
            <w:tabs>
              <w:tab w:val="center" w:pos="4252"/>
              <w:tab w:val="right" w:pos="8504"/>
            </w:tabs>
            <w:jc w:val="both"/>
            <w:rPr>
              <w:rFonts w:ascii="Palatino Linotype" w:hAnsi="Palatino Linotype"/>
              <w:b/>
            </w:rPr>
          </w:pPr>
          <w:r w:rsidRPr="00421D12">
            <w:rPr>
              <w:rFonts w:ascii="Palatino Linotype" w:hAnsi="Palatino Linotype"/>
              <w:b/>
            </w:rPr>
            <w:t>Javier Martínez Cruz</w:t>
          </w:r>
        </w:p>
      </w:tc>
    </w:tr>
  </w:tbl>
  <w:p w:rsidR="00421D12" w:rsidRPr="00421D12" w:rsidRDefault="00421D12" w:rsidP="00421D12">
    <w:pPr>
      <w:tabs>
        <w:tab w:val="center" w:pos="4419"/>
        <w:tab w:val="right" w:pos="8838"/>
      </w:tabs>
    </w:pPr>
  </w:p>
  <w:p w:rsidR="00421D12" w:rsidRDefault="00421D12">
    <w:pPr>
      <w:pStyle w:val="Encabezado"/>
    </w:pPr>
  </w:p>
  <w:p w:rsidR="00421D12" w:rsidRDefault="00421D1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1C1872"/>
    <w:multiLevelType w:val="hybridMultilevel"/>
    <w:tmpl w:val="243C701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BA3099A"/>
    <w:multiLevelType w:val="hybridMultilevel"/>
    <w:tmpl w:val="3580D9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EAC7C0F"/>
    <w:multiLevelType w:val="hybridMultilevel"/>
    <w:tmpl w:val="3230D8CE"/>
    <w:lvl w:ilvl="0" w:tplc="080A0015">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D0F631B"/>
    <w:multiLevelType w:val="hybridMultilevel"/>
    <w:tmpl w:val="B9405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3B60849"/>
    <w:multiLevelType w:val="hybridMultilevel"/>
    <w:tmpl w:val="A4803F20"/>
    <w:lvl w:ilvl="0" w:tplc="2FF64BB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D7A3673"/>
    <w:multiLevelType w:val="hybridMultilevel"/>
    <w:tmpl w:val="0F8CB382"/>
    <w:lvl w:ilvl="0" w:tplc="E958629A">
      <w:start w:val="1"/>
      <w:numFmt w:val="decimal"/>
      <w:lvlText w:val="%1)"/>
      <w:lvlJc w:val="left"/>
      <w:pPr>
        <w:ind w:left="720"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
  </w:num>
  <w:num w:numId="2">
    <w:abstractNumId w:val="2"/>
  </w:num>
  <w:num w:numId="3">
    <w:abstractNumId w:val="4"/>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064"/>
    <w:rsid w:val="000C0CCA"/>
    <w:rsid w:val="00135DC4"/>
    <w:rsid w:val="00172D4F"/>
    <w:rsid w:val="00421D12"/>
    <w:rsid w:val="00422502"/>
    <w:rsid w:val="00433538"/>
    <w:rsid w:val="0056465C"/>
    <w:rsid w:val="00572C10"/>
    <w:rsid w:val="005A7673"/>
    <w:rsid w:val="00732A00"/>
    <w:rsid w:val="007A2FA2"/>
    <w:rsid w:val="007B4064"/>
    <w:rsid w:val="007E1456"/>
    <w:rsid w:val="008D2A60"/>
    <w:rsid w:val="008F3189"/>
    <w:rsid w:val="0091209B"/>
    <w:rsid w:val="009D5CF7"/>
    <w:rsid w:val="00A547D2"/>
    <w:rsid w:val="00AC19B8"/>
    <w:rsid w:val="00AE160A"/>
    <w:rsid w:val="00AE5748"/>
    <w:rsid w:val="00B415FD"/>
    <w:rsid w:val="00B84C59"/>
    <w:rsid w:val="00B91E1F"/>
    <w:rsid w:val="00CD79F2"/>
    <w:rsid w:val="00D60320"/>
    <w:rsid w:val="00DB70D4"/>
    <w:rsid w:val="00DE1FAA"/>
    <w:rsid w:val="00E0083C"/>
    <w:rsid w:val="00E31CCA"/>
    <w:rsid w:val="00E86ECB"/>
    <w:rsid w:val="00EB2CCA"/>
    <w:rsid w:val="00F53D42"/>
    <w:rsid w:val="00F70825"/>
    <w:rsid w:val="00F73A56"/>
    <w:rsid w:val="00FC65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91488D-EA92-4FAD-9A7D-3A37B5A19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4064"/>
    <w:pPr>
      <w:spacing w:after="0" w:line="240" w:lineRule="auto"/>
    </w:pPr>
    <w:rPr>
      <w:rFonts w:ascii="Times New Roman" w:eastAsia="Calibri"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72"/>
    <w:qFormat/>
    <w:rsid w:val="00732A00"/>
    <w:pPr>
      <w:ind w:left="720"/>
      <w:contextualSpacing/>
    </w:p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locked/>
    <w:rsid w:val="00F70825"/>
    <w:rPr>
      <w:rFonts w:ascii="Times New Roman" w:eastAsia="Calibri" w:hAnsi="Times New Roman" w:cs="Times New Roman"/>
      <w:sz w:val="20"/>
      <w:szCs w:val="20"/>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F70825"/>
    <w:rPr>
      <w:sz w:val="20"/>
      <w:szCs w:val="20"/>
    </w:rPr>
  </w:style>
  <w:style w:type="character" w:customStyle="1" w:styleId="TextonotapieCar1">
    <w:name w:val="Texto nota pie Car1"/>
    <w:basedOn w:val="Fuentedeprrafopredeter"/>
    <w:uiPriority w:val="99"/>
    <w:semiHidden/>
    <w:rsid w:val="00F70825"/>
    <w:rPr>
      <w:rFonts w:ascii="Times New Roman" w:eastAsia="Calibri"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F70825"/>
    <w:rPr>
      <w:vertAlign w:val="superscript"/>
    </w:rPr>
  </w:style>
  <w:style w:type="paragraph" w:styleId="Encabezado">
    <w:name w:val="header"/>
    <w:basedOn w:val="Normal"/>
    <w:link w:val="EncabezadoCar"/>
    <w:uiPriority w:val="99"/>
    <w:unhideWhenUsed/>
    <w:rsid w:val="008F3189"/>
    <w:pPr>
      <w:tabs>
        <w:tab w:val="center" w:pos="4419"/>
        <w:tab w:val="right" w:pos="8838"/>
      </w:tabs>
    </w:pPr>
  </w:style>
  <w:style w:type="character" w:customStyle="1" w:styleId="EncabezadoCar">
    <w:name w:val="Encabezado Car"/>
    <w:basedOn w:val="Fuentedeprrafopredeter"/>
    <w:link w:val="Encabezado"/>
    <w:uiPriority w:val="99"/>
    <w:rsid w:val="008F3189"/>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8F3189"/>
    <w:pPr>
      <w:tabs>
        <w:tab w:val="center" w:pos="4419"/>
        <w:tab w:val="right" w:pos="8838"/>
      </w:tabs>
    </w:pPr>
  </w:style>
  <w:style w:type="character" w:customStyle="1" w:styleId="PiedepginaCar">
    <w:name w:val="Pie de página Car"/>
    <w:basedOn w:val="Fuentedeprrafopredeter"/>
    <w:link w:val="Piedepgina"/>
    <w:uiPriority w:val="99"/>
    <w:rsid w:val="008F3189"/>
    <w:rPr>
      <w:rFonts w:ascii="Times New Roman" w:eastAsia="Calibri" w:hAnsi="Times New Roman" w:cs="Times New Roman"/>
      <w:sz w:val="24"/>
      <w:szCs w:val="24"/>
      <w:lang w:val="es-ES" w:eastAsia="es-ES"/>
    </w:rPr>
  </w:style>
  <w:style w:type="table" w:styleId="Tablaconcuadrcula">
    <w:name w:val="Table Grid"/>
    <w:basedOn w:val="Tablanormal"/>
    <w:uiPriority w:val="59"/>
    <w:rsid w:val="008F31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421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72"/>
    <w:locked/>
    <w:rsid w:val="00B84C59"/>
    <w:rPr>
      <w:rFonts w:ascii="Times New Roman" w:eastAsia="Calibri" w:hAnsi="Times New Roman" w:cs="Times New Roman"/>
      <w:sz w:val="24"/>
      <w:szCs w:val="24"/>
      <w:lang w:val="es-ES" w:eastAsia="es-ES"/>
    </w:rPr>
  </w:style>
  <w:style w:type="paragraph" w:styleId="Textodeglobo">
    <w:name w:val="Balloon Text"/>
    <w:basedOn w:val="Normal"/>
    <w:link w:val="TextodegloboCar"/>
    <w:uiPriority w:val="99"/>
    <w:semiHidden/>
    <w:unhideWhenUsed/>
    <w:rsid w:val="00D6032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60320"/>
    <w:rPr>
      <w:rFonts w:ascii="Segoe UI" w:eastAsia="Calibri"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78445-F35B-497A-B78D-55781192B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5766</Words>
  <Characters>31714</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37406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2018-10-11T00:36:00Z</cp:lastPrinted>
  <dcterms:created xsi:type="dcterms:W3CDTF">2018-12-06T19:25:00Z</dcterms:created>
  <dcterms:modified xsi:type="dcterms:W3CDTF">2018-12-31T17:42:00Z</dcterms:modified>
</cp:coreProperties>
</file>